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67BC" w14:textId="0870B478" w:rsidR="002F17A0" w:rsidRPr="00FE75C2" w:rsidRDefault="002F17A0" w:rsidP="00FE75C2">
      <w:pPr>
        <w:pStyle w:val="Heading2"/>
        <w:jc w:val="center"/>
        <w:rPr>
          <w:i/>
          <w:noProof/>
          <w:sz w:val="56"/>
          <w:lang w:val="en-GB"/>
        </w:rPr>
      </w:pPr>
    </w:p>
    <w:p w14:paraId="549DFDAA" w14:textId="77777777" w:rsidR="00600D41" w:rsidRDefault="00600D41" w:rsidP="4204AA23">
      <w:pPr>
        <w:autoSpaceDE w:val="0"/>
        <w:autoSpaceDN w:val="0"/>
        <w:adjustRightInd w:val="0"/>
        <w:jc w:val="center"/>
        <w:rPr>
          <w:rFonts w:ascii="Century Gothic" w:hAnsi="Century Gothic" w:cs="Arial"/>
          <w:b/>
          <w:bCs/>
          <w:sz w:val="32"/>
          <w:szCs w:val="32"/>
        </w:rPr>
      </w:pPr>
    </w:p>
    <w:p w14:paraId="008F7BBD" w14:textId="77777777" w:rsidR="00600D41" w:rsidRDefault="00600D41" w:rsidP="4204AA23">
      <w:pPr>
        <w:autoSpaceDE w:val="0"/>
        <w:autoSpaceDN w:val="0"/>
        <w:adjustRightInd w:val="0"/>
        <w:jc w:val="center"/>
        <w:rPr>
          <w:rFonts w:ascii="Century Gothic" w:hAnsi="Century Gothic" w:cs="Arial"/>
          <w:b/>
          <w:bCs/>
          <w:sz w:val="32"/>
          <w:szCs w:val="32"/>
        </w:rPr>
      </w:pPr>
    </w:p>
    <w:p w14:paraId="73A2FE6C" w14:textId="7FB0DFB7" w:rsidR="00600D41" w:rsidRPr="00600D41" w:rsidRDefault="00600D41" w:rsidP="00600D41">
      <w:pPr>
        <w:spacing w:after="0"/>
        <w:jc w:val="center"/>
        <w:rPr>
          <w:b/>
          <w:color w:val="244061" w:themeColor="accent1" w:themeShade="80"/>
          <w:sz w:val="72"/>
          <w:szCs w:val="72"/>
        </w:rPr>
      </w:pPr>
      <w:r w:rsidRPr="00600D41">
        <w:rPr>
          <w:b/>
          <w:color w:val="244061" w:themeColor="accent1" w:themeShade="80"/>
          <w:sz w:val="72"/>
          <w:szCs w:val="72"/>
        </w:rPr>
        <w:t xml:space="preserve">SPECIAL EDUCATION NEEDS </w:t>
      </w:r>
    </w:p>
    <w:p w14:paraId="1A25736E" w14:textId="17109EA6" w:rsidR="00600D41" w:rsidRPr="00600D41" w:rsidRDefault="00600D41" w:rsidP="00600D41">
      <w:pPr>
        <w:spacing w:after="0"/>
        <w:jc w:val="center"/>
        <w:rPr>
          <w:b/>
          <w:color w:val="244061" w:themeColor="accent1" w:themeShade="80"/>
          <w:sz w:val="72"/>
          <w:szCs w:val="72"/>
        </w:rPr>
      </w:pPr>
      <w:r w:rsidRPr="00600D41">
        <w:rPr>
          <w:b/>
          <w:color w:val="244061" w:themeColor="accent1" w:themeShade="80"/>
          <w:sz w:val="72"/>
          <w:szCs w:val="72"/>
        </w:rPr>
        <w:t>&amp; DISABILITY POLICY (SEND)</w:t>
      </w:r>
    </w:p>
    <w:p w14:paraId="4E353B6D" w14:textId="77777777" w:rsidR="00600D41" w:rsidRDefault="00600D41" w:rsidP="00600D41">
      <w:pPr>
        <w:spacing w:after="0"/>
        <w:jc w:val="center"/>
        <w:rPr>
          <w:sz w:val="44"/>
          <w:szCs w:val="44"/>
        </w:rPr>
      </w:pPr>
    </w:p>
    <w:tbl>
      <w:tblPr>
        <w:tblStyle w:val="TableGrid"/>
        <w:tblW w:w="9351" w:type="dxa"/>
        <w:tblLook w:val="04A0" w:firstRow="1" w:lastRow="0" w:firstColumn="1" w:lastColumn="0" w:noHBand="0" w:noVBand="1"/>
      </w:tblPr>
      <w:tblGrid>
        <w:gridCol w:w="4897"/>
        <w:gridCol w:w="4454"/>
      </w:tblGrid>
      <w:tr w:rsidR="00600D41" w14:paraId="78A2D996" w14:textId="77777777" w:rsidTr="00600D41">
        <w:tc>
          <w:tcPr>
            <w:tcW w:w="4897" w:type="dxa"/>
          </w:tcPr>
          <w:p w14:paraId="6B359B36" w14:textId="77777777" w:rsidR="00600D41" w:rsidRPr="00600D41" w:rsidRDefault="00600D41" w:rsidP="0036216B">
            <w:pPr>
              <w:rPr>
                <w:rFonts w:cstheme="minorHAnsi"/>
                <w:color w:val="002060"/>
                <w:sz w:val="32"/>
                <w:szCs w:val="32"/>
              </w:rPr>
            </w:pPr>
            <w:r w:rsidRPr="00600D41">
              <w:rPr>
                <w:rFonts w:cstheme="minorHAnsi"/>
                <w:color w:val="002060"/>
                <w:sz w:val="32"/>
                <w:szCs w:val="32"/>
              </w:rPr>
              <w:t>Approving Body:</w:t>
            </w:r>
          </w:p>
        </w:tc>
        <w:tc>
          <w:tcPr>
            <w:tcW w:w="4454" w:type="dxa"/>
          </w:tcPr>
          <w:p w14:paraId="029065ED" w14:textId="77777777" w:rsidR="00600D41" w:rsidRPr="00600D41" w:rsidRDefault="00600D41" w:rsidP="0036216B">
            <w:pPr>
              <w:rPr>
                <w:rFonts w:cstheme="minorHAnsi"/>
                <w:color w:val="002060"/>
                <w:sz w:val="32"/>
                <w:szCs w:val="32"/>
              </w:rPr>
            </w:pPr>
            <w:r w:rsidRPr="00600D41">
              <w:rPr>
                <w:rFonts w:cstheme="minorHAnsi"/>
                <w:color w:val="002060"/>
                <w:sz w:val="32"/>
                <w:szCs w:val="32"/>
              </w:rPr>
              <w:t xml:space="preserve">Local Academy Board </w:t>
            </w:r>
          </w:p>
        </w:tc>
      </w:tr>
      <w:tr w:rsidR="00600D41" w14:paraId="7C0E4E15" w14:textId="77777777" w:rsidTr="00600D41">
        <w:tc>
          <w:tcPr>
            <w:tcW w:w="4897" w:type="dxa"/>
          </w:tcPr>
          <w:p w14:paraId="1A823AF2" w14:textId="77777777" w:rsidR="00600D41" w:rsidRPr="00600D41" w:rsidRDefault="00600D41" w:rsidP="0036216B">
            <w:pPr>
              <w:rPr>
                <w:rFonts w:cstheme="minorHAnsi"/>
                <w:color w:val="002060"/>
                <w:sz w:val="32"/>
                <w:szCs w:val="32"/>
              </w:rPr>
            </w:pPr>
            <w:r w:rsidRPr="00600D41">
              <w:rPr>
                <w:rFonts w:cstheme="minorHAnsi"/>
                <w:color w:val="002060"/>
                <w:sz w:val="32"/>
                <w:szCs w:val="32"/>
              </w:rPr>
              <w:t>Date Approved:</w:t>
            </w:r>
          </w:p>
        </w:tc>
        <w:tc>
          <w:tcPr>
            <w:tcW w:w="4454" w:type="dxa"/>
          </w:tcPr>
          <w:p w14:paraId="111C0C3E" w14:textId="77777777" w:rsidR="00600D41" w:rsidRPr="00600D41" w:rsidRDefault="00600D41" w:rsidP="0036216B">
            <w:pPr>
              <w:rPr>
                <w:rFonts w:cstheme="minorHAnsi"/>
                <w:color w:val="002060"/>
                <w:sz w:val="32"/>
                <w:szCs w:val="32"/>
              </w:rPr>
            </w:pPr>
            <w:r w:rsidRPr="00600D41">
              <w:rPr>
                <w:rFonts w:cstheme="minorHAnsi"/>
                <w:color w:val="002060"/>
                <w:sz w:val="32"/>
                <w:szCs w:val="32"/>
              </w:rPr>
              <w:t>March 2020</w:t>
            </w:r>
          </w:p>
        </w:tc>
      </w:tr>
      <w:tr w:rsidR="00600D41" w14:paraId="1A620D3C" w14:textId="77777777" w:rsidTr="00600D41">
        <w:tc>
          <w:tcPr>
            <w:tcW w:w="4897" w:type="dxa"/>
          </w:tcPr>
          <w:p w14:paraId="4BD6783C" w14:textId="77777777" w:rsidR="00600D41" w:rsidRPr="00600D41" w:rsidRDefault="00600D41" w:rsidP="0036216B">
            <w:pPr>
              <w:rPr>
                <w:rFonts w:cstheme="minorHAnsi"/>
                <w:color w:val="002060"/>
                <w:sz w:val="32"/>
                <w:szCs w:val="32"/>
              </w:rPr>
            </w:pPr>
            <w:r w:rsidRPr="00600D41">
              <w:rPr>
                <w:rFonts w:cstheme="minorHAnsi"/>
                <w:color w:val="002060"/>
                <w:sz w:val="32"/>
                <w:szCs w:val="32"/>
              </w:rPr>
              <w:t>Review Date:</w:t>
            </w:r>
          </w:p>
        </w:tc>
        <w:tc>
          <w:tcPr>
            <w:tcW w:w="4454" w:type="dxa"/>
          </w:tcPr>
          <w:p w14:paraId="7DCF7254" w14:textId="77777777" w:rsidR="00600D41" w:rsidRPr="00600D41" w:rsidRDefault="00600D41" w:rsidP="0036216B">
            <w:pPr>
              <w:rPr>
                <w:rFonts w:cstheme="minorHAnsi"/>
                <w:color w:val="002060"/>
                <w:sz w:val="32"/>
                <w:szCs w:val="32"/>
              </w:rPr>
            </w:pPr>
            <w:r w:rsidRPr="00600D41">
              <w:rPr>
                <w:rFonts w:cstheme="minorHAnsi"/>
                <w:color w:val="002060"/>
                <w:sz w:val="32"/>
                <w:szCs w:val="32"/>
              </w:rPr>
              <w:t>March 2021</w:t>
            </w:r>
          </w:p>
        </w:tc>
      </w:tr>
      <w:tr w:rsidR="00600D41" w14:paraId="6EECB6A3" w14:textId="77777777" w:rsidTr="00600D41">
        <w:tc>
          <w:tcPr>
            <w:tcW w:w="4897" w:type="dxa"/>
          </w:tcPr>
          <w:p w14:paraId="24C61594" w14:textId="7DE535E0" w:rsidR="00600D41" w:rsidRPr="00600D41" w:rsidRDefault="00600D41" w:rsidP="0036216B">
            <w:pPr>
              <w:rPr>
                <w:rFonts w:cstheme="minorHAnsi"/>
                <w:color w:val="002060"/>
                <w:sz w:val="32"/>
                <w:szCs w:val="32"/>
              </w:rPr>
            </w:pPr>
            <w:r w:rsidRPr="00600D41">
              <w:rPr>
                <w:rFonts w:cstheme="minorHAnsi"/>
                <w:color w:val="002060"/>
                <w:sz w:val="32"/>
                <w:szCs w:val="32"/>
              </w:rPr>
              <w:t>Legislation:</w:t>
            </w:r>
          </w:p>
        </w:tc>
        <w:tc>
          <w:tcPr>
            <w:tcW w:w="4454" w:type="dxa"/>
          </w:tcPr>
          <w:p w14:paraId="5E369486" w14:textId="4B23E5B6" w:rsidR="00600D41" w:rsidRPr="00600D41" w:rsidRDefault="00600D41" w:rsidP="0036216B">
            <w:pPr>
              <w:rPr>
                <w:rFonts w:cstheme="minorHAnsi"/>
                <w:color w:val="002060"/>
                <w:sz w:val="32"/>
                <w:szCs w:val="32"/>
              </w:rPr>
            </w:pPr>
            <w:r w:rsidRPr="00600D41">
              <w:rPr>
                <w:rFonts w:cstheme="minorHAnsi"/>
                <w:color w:val="002060"/>
                <w:sz w:val="32"/>
                <w:szCs w:val="32"/>
              </w:rPr>
              <w:t>The Special Educational Needs &amp; Disability Regulations 2014</w:t>
            </w:r>
          </w:p>
        </w:tc>
      </w:tr>
      <w:tr w:rsidR="00600D41" w14:paraId="6B057D56" w14:textId="77777777" w:rsidTr="00600D41">
        <w:tc>
          <w:tcPr>
            <w:tcW w:w="4897" w:type="dxa"/>
          </w:tcPr>
          <w:p w14:paraId="49C9B029" w14:textId="1195DB0B" w:rsidR="00600D41" w:rsidRPr="00600D41" w:rsidRDefault="00600D41" w:rsidP="0036216B">
            <w:pPr>
              <w:rPr>
                <w:rFonts w:cstheme="minorHAnsi"/>
                <w:color w:val="002060"/>
                <w:sz w:val="32"/>
                <w:szCs w:val="32"/>
              </w:rPr>
            </w:pPr>
            <w:r w:rsidRPr="00600D41">
              <w:rPr>
                <w:rFonts w:cstheme="minorHAnsi"/>
                <w:color w:val="002060"/>
                <w:sz w:val="32"/>
                <w:szCs w:val="32"/>
              </w:rPr>
              <w:t>Further information/Guidance</w:t>
            </w:r>
          </w:p>
        </w:tc>
        <w:tc>
          <w:tcPr>
            <w:tcW w:w="4454" w:type="dxa"/>
          </w:tcPr>
          <w:p w14:paraId="5977FBD8" w14:textId="10397B27" w:rsidR="00600D41" w:rsidRPr="00600D41" w:rsidRDefault="00600D41" w:rsidP="0036216B">
            <w:pPr>
              <w:rPr>
                <w:rFonts w:cstheme="minorHAnsi"/>
                <w:color w:val="002060"/>
                <w:sz w:val="32"/>
                <w:szCs w:val="32"/>
              </w:rPr>
            </w:pPr>
            <w:r w:rsidRPr="00600D41">
              <w:rPr>
                <w:rFonts w:cstheme="minorHAnsi"/>
                <w:color w:val="002060"/>
                <w:sz w:val="32"/>
                <w:szCs w:val="32"/>
              </w:rPr>
              <w:t>The 0-25 Special Educational Needs and Disability Code of Practice</w:t>
            </w:r>
          </w:p>
        </w:tc>
      </w:tr>
    </w:tbl>
    <w:p w14:paraId="3EA26F12" w14:textId="77777777" w:rsidR="00600D41" w:rsidRDefault="00600D41" w:rsidP="00600D41">
      <w:pPr>
        <w:spacing w:after="0"/>
        <w:jc w:val="center"/>
        <w:rPr>
          <w:sz w:val="44"/>
          <w:szCs w:val="44"/>
        </w:rPr>
      </w:pPr>
    </w:p>
    <w:p w14:paraId="33E38AEC" w14:textId="77777777" w:rsidR="00600D41" w:rsidRDefault="00600D41" w:rsidP="4204AA23">
      <w:pPr>
        <w:autoSpaceDE w:val="0"/>
        <w:autoSpaceDN w:val="0"/>
        <w:adjustRightInd w:val="0"/>
        <w:jc w:val="center"/>
        <w:rPr>
          <w:rFonts w:ascii="Century Gothic" w:hAnsi="Century Gothic" w:cs="Arial"/>
          <w:b/>
          <w:bCs/>
          <w:sz w:val="32"/>
          <w:szCs w:val="32"/>
        </w:rPr>
      </w:pPr>
    </w:p>
    <w:p w14:paraId="53E00392" w14:textId="77777777" w:rsidR="00600D41" w:rsidRDefault="00600D41" w:rsidP="4204AA23">
      <w:pPr>
        <w:autoSpaceDE w:val="0"/>
        <w:autoSpaceDN w:val="0"/>
        <w:adjustRightInd w:val="0"/>
        <w:jc w:val="center"/>
        <w:rPr>
          <w:rFonts w:ascii="Century Gothic" w:hAnsi="Century Gothic" w:cs="Arial"/>
          <w:b/>
          <w:bCs/>
          <w:sz w:val="32"/>
          <w:szCs w:val="32"/>
        </w:rPr>
      </w:pPr>
    </w:p>
    <w:p w14:paraId="250366BA" w14:textId="77777777" w:rsidR="00600D41" w:rsidRDefault="00600D41" w:rsidP="4204AA23">
      <w:pPr>
        <w:autoSpaceDE w:val="0"/>
        <w:autoSpaceDN w:val="0"/>
        <w:adjustRightInd w:val="0"/>
        <w:jc w:val="center"/>
        <w:rPr>
          <w:rFonts w:ascii="Century Gothic" w:hAnsi="Century Gothic" w:cs="Arial"/>
          <w:b/>
          <w:bCs/>
          <w:sz w:val="32"/>
          <w:szCs w:val="32"/>
        </w:rPr>
      </w:pPr>
    </w:p>
    <w:p w14:paraId="5DAB6C7B" w14:textId="77777777" w:rsidR="006F21AD" w:rsidRPr="00BA0473" w:rsidRDefault="006F21AD">
      <w:pPr>
        <w:autoSpaceDE w:val="0"/>
        <w:autoSpaceDN w:val="0"/>
        <w:adjustRightInd w:val="0"/>
        <w:rPr>
          <w:rFonts w:ascii="Century Gothic" w:hAnsi="Century Gothic" w:cs="ArialMT-Identity-H"/>
          <w:sz w:val="24"/>
          <w:szCs w:val="24"/>
        </w:rPr>
      </w:pPr>
    </w:p>
    <w:p w14:paraId="02EB378F" w14:textId="77777777" w:rsidR="006F21AD" w:rsidRPr="00BA0473" w:rsidRDefault="006F21AD">
      <w:pPr>
        <w:autoSpaceDE w:val="0"/>
        <w:autoSpaceDN w:val="0"/>
        <w:adjustRightInd w:val="0"/>
        <w:rPr>
          <w:rFonts w:ascii="Century Gothic" w:hAnsi="Century Gothic" w:cs="ArialMT-Identity-H"/>
          <w:sz w:val="24"/>
          <w:szCs w:val="24"/>
        </w:rPr>
      </w:pPr>
    </w:p>
    <w:p w14:paraId="6A05A809" w14:textId="77777777" w:rsidR="006F21AD" w:rsidRPr="00BA0473" w:rsidRDefault="006F21AD">
      <w:pPr>
        <w:autoSpaceDE w:val="0"/>
        <w:autoSpaceDN w:val="0"/>
        <w:adjustRightInd w:val="0"/>
        <w:rPr>
          <w:rFonts w:ascii="Century Gothic" w:hAnsi="Century Gothic" w:cs="ArialMT-Identity-H"/>
          <w:sz w:val="24"/>
          <w:szCs w:val="24"/>
        </w:rPr>
      </w:pPr>
    </w:p>
    <w:bookmarkStart w:id="0" w:name="_GoBack" w:displacedByCustomXml="next"/>
    <w:bookmarkEnd w:id="0" w:displacedByCustomXml="next"/>
    <w:sdt>
      <w:sdtPr>
        <w:rPr>
          <w:rFonts w:asciiTheme="minorHAnsi" w:eastAsiaTheme="minorHAnsi" w:hAnsiTheme="minorHAnsi" w:cstheme="minorBidi"/>
          <w:color w:val="auto"/>
          <w:sz w:val="22"/>
          <w:szCs w:val="22"/>
          <w:lang w:val="en-GB"/>
        </w:rPr>
        <w:id w:val="-643198271"/>
        <w:docPartObj>
          <w:docPartGallery w:val="Table of Contents"/>
          <w:docPartUnique/>
        </w:docPartObj>
      </w:sdtPr>
      <w:sdtEndPr>
        <w:rPr>
          <w:rFonts w:eastAsia="Calibri" w:cstheme="minorHAnsi"/>
          <w:b/>
          <w:bCs/>
          <w:noProof/>
        </w:rPr>
      </w:sdtEndPr>
      <w:sdtContent>
        <w:p w14:paraId="406425CA" w14:textId="77777777" w:rsidR="006F21AD" w:rsidRPr="00BA0473" w:rsidRDefault="00A66A8D">
          <w:pPr>
            <w:pStyle w:val="TOCHeading"/>
            <w:rPr>
              <w:color w:val="auto"/>
            </w:rPr>
          </w:pPr>
          <w:r w:rsidRPr="00BA0473">
            <w:rPr>
              <w:color w:val="auto"/>
            </w:rPr>
            <w:t>Contents</w:t>
          </w:r>
        </w:p>
        <w:p w14:paraId="4DF26E9F" w14:textId="5B5C0A87" w:rsidR="006F21AD" w:rsidRPr="00BF5C0F" w:rsidRDefault="00A66A8D">
          <w:pPr>
            <w:pStyle w:val="TOC1"/>
            <w:tabs>
              <w:tab w:val="right" w:leader="dot" w:pos="9016"/>
            </w:tabs>
            <w:rPr>
              <w:rFonts w:eastAsiaTheme="minorEastAsia" w:cstheme="minorHAnsi"/>
              <w:noProof/>
              <w:lang w:eastAsia="en-GB"/>
            </w:rPr>
          </w:pPr>
          <w:r w:rsidRPr="00BF5C0F">
            <w:rPr>
              <w:rFonts w:cstheme="minorHAnsi"/>
            </w:rPr>
            <w:fldChar w:fldCharType="begin"/>
          </w:r>
          <w:r w:rsidRPr="00BF5C0F">
            <w:rPr>
              <w:rFonts w:cstheme="minorHAnsi"/>
            </w:rPr>
            <w:instrText xml:space="preserve"> TOC \o "1-3" \h \z \u </w:instrText>
          </w:r>
          <w:r w:rsidRPr="00BF5C0F">
            <w:rPr>
              <w:rFonts w:cstheme="minorHAnsi"/>
            </w:rPr>
            <w:fldChar w:fldCharType="separate"/>
          </w:r>
          <w:hyperlink w:anchor="_Toc482362329" w:history="1">
            <w:r w:rsidRPr="00BF5C0F">
              <w:rPr>
                <w:rStyle w:val="Hyperlink"/>
                <w:rFonts w:eastAsia="Arial Unicode MS" w:cstheme="minorHAnsi"/>
                <w:noProof/>
                <w:color w:val="auto"/>
              </w:rPr>
              <w:t>Section 1 - Compliance</w:t>
            </w:r>
            <w:r w:rsidRPr="00BF5C0F">
              <w:rPr>
                <w:rFonts w:cstheme="minorHAnsi"/>
                <w:noProof/>
                <w:webHidden/>
              </w:rPr>
              <w:tab/>
            </w:r>
            <w:r w:rsidRPr="00BF5C0F">
              <w:rPr>
                <w:rFonts w:cstheme="minorHAnsi"/>
                <w:noProof/>
                <w:webHidden/>
              </w:rPr>
              <w:fldChar w:fldCharType="begin"/>
            </w:r>
            <w:r w:rsidRPr="00BF5C0F">
              <w:rPr>
                <w:rFonts w:cstheme="minorHAnsi"/>
                <w:noProof/>
                <w:webHidden/>
              </w:rPr>
              <w:instrText xml:space="preserve"> PAGEREF _Toc482362329 \h </w:instrText>
            </w:r>
            <w:r w:rsidRPr="00BF5C0F">
              <w:rPr>
                <w:rFonts w:cstheme="minorHAnsi"/>
                <w:noProof/>
                <w:webHidden/>
              </w:rPr>
            </w:r>
            <w:r w:rsidRPr="00BF5C0F">
              <w:rPr>
                <w:rFonts w:cstheme="minorHAnsi"/>
                <w:noProof/>
                <w:webHidden/>
              </w:rPr>
              <w:fldChar w:fldCharType="separate"/>
            </w:r>
            <w:r w:rsidR="0085269C" w:rsidRPr="00BF5C0F">
              <w:rPr>
                <w:rFonts w:cstheme="minorHAnsi"/>
                <w:noProof/>
                <w:webHidden/>
              </w:rPr>
              <w:t>3</w:t>
            </w:r>
            <w:r w:rsidRPr="00BF5C0F">
              <w:rPr>
                <w:rFonts w:cstheme="minorHAnsi"/>
                <w:noProof/>
                <w:webHidden/>
              </w:rPr>
              <w:fldChar w:fldCharType="end"/>
            </w:r>
          </w:hyperlink>
        </w:p>
        <w:p w14:paraId="33B6929D" w14:textId="7D514F4C" w:rsidR="006F21AD" w:rsidRPr="00BF5C0F" w:rsidRDefault="00600D41">
          <w:pPr>
            <w:pStyle w:val="TOC1"/>
            <w:tabs>
              <w:tab w:val="right" w:leader="dot" w:pos="9016"/>
            </w:tabs>
            <w:rPr>
              <w:rFonts w:eastAsiaTheme="minorEastAsia" w:cstheme="minorHAnsi"/>
              <w:noProof/>
              <w:lang w:eastAsia="en-GB"/>
            </w:rPr>
          </w:pPr>
          <w:hyperlink w:anchor="_Toc482362330" w:history="1">
            <w:r w:rsidR="00A66A8D" w:rsidRPr="00BF5C0F">
              <w:rPr>
                <w:rStyle w:val="Hyperlink"/>
                <w:rFonts w:eastAsia="Arial Unicode MS" w:cstheme="minorHAnsi"/>
                <w:noProof/>
                <w:color w:val="auto"/>
              </w:rPr>
              <w:t>Section 2 - Vision and Principles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_Toc482362330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3</w:t>
            </w:r>
            <w:r w:rsidR="00A66A8D" w:rsidRPr="00BF5C0F">
              <w:rPr>
                <w:rFonts w:cstheme="minorHAnsi"/>
                <w:noProof/>
                <w:webHidden/>
              </w:rPr>
              <w:fldChar w:fldCharType="end"/>
            </w:r>
          </w:hyperlink>
        </w:p>
        <w:p w14:paraId="0BB3FE4B" w14:textId="6BD8FE48" w:rsidR="006F21AD" w:rsidRPr="00BF5C0F" w:rsidRDefault="00600D41">
          <w:pPr>
            <w:pStyle w:val="TOC1"/>
            <w:tabs>
              <w:tab w:val="right" w:leader="dot" w:pos="9016"/>
            </w:tabs>
            <w:rPr>
              <w:rFonts w:eastAsiaTheme="minorEastAsia" w:cstheme="minorHAnsi"/>
              <w:noProof/>
              <w:lang w:eastAsia="en-GB"/>
            </w:rPr>
          </w:pPr>
          <w:hyperlink w:anchor="_Toc482362331" w:history="1">
            <w:r w:rsidR="00A66A8D" w:rsidRPr="00BF5C0F">
              <w:rPr>
                <w:rStyle w:val="Hyperlink"/>
                <w:rFonts w:eastAsia="Arial Unicode MS" w:cstheme="minorHAnsi"/>
                <w:noProof/>
                <w:color w:val="auto"/>
              </w:rPr>
              <w:t>Section 3 - Responsibility for the coordination of SEN provision</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_Toc482362331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3</w:t>
            </w:r>
            <w:r w:rsidR="00A66A8D" w:rsidRPr="00BF5C0F">
              <w:rPr>
                <w:rFonts w:cstheme="minorHAnsi"/>
                <w:noProof/>
                <w:webHidden/>
              </w:rPr>
              <w:fldChar w:fldCharType="end"/>
            </w:r>
          </w:hyperlink>
        </w:p>
        <w:p w14:paraId="4E7D0330" w14:textId="587346DD" w:rsidR="006F21AD" w:rsidRPr="00BF5C0F" w:rsidRDefault="00600D41">
          <w:pPr>
            <w:pStyle w:val="TOC1"/>
            <w:tabs>
              <w:tab w:val="right" w:leader="dot" w:pos="9016"/>
            </w:tabs>
            <w:rPr>
              <w:rFonts w:eastAsiaTheme="minorEastAsia" w:cstheme="minorHAnsi"/>
              <w:noProof/>
              <w:lang w:eastAsia="en-GB"/>
            </w:rPr>
          </w:pPr>
          <w:hyperlink w:anchor="_Toc482362332" w:history="1">
            <w:r w:rsidR="00A66A8D" w:rsidRPr="00BF5C0F">
              <w:rPr>
                <w:rStyle w:val="Hyperlink"/>
                <w:rFonts w:eastAsia="Arial Unicode MS" w:cstheme="minorHAnsi"/>
                <w:noProof/>
                <w:color w:val="auto"/>
              </w:rPr>
              <w:t>Section 4 - Aims and objectives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_Toc482362332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3</w:t>
            </w:r>
            <w:r w:rsidR="00A66A8D" w:rsidRPr="00BF5C0F">
              <w:rPr>
                <w:rFonts w:cstheme="minorHAnsi"/>
                <w:noProof/>
                <w:webHidden/>
              </w:rPr>
              <w:fldChar w:fldCharType="end"/>
            </w:r>
          </w:hyperlink>
        </w:p>
        <w:p w14:paraId="18F698BB" w14:textId="140CB394" w:rsidR="006F21AD" w:rsidRPr="00BF5C0F" w:rsidRDefault="00600D41">
          <w:pPr>
            <w:pStyle w:val="TOC1"/>
            <w:tabs>
              <w:tab w:val="right" w:leader="dot" w:pos="9016"/>
            </w:tabs>
            <w:rPr>
              <w:rFonts w:eastAsiaTheme="minorEastAsia" w:cstheme="minorHAnsi"/>
              <w:noProof/>
              <w:lang w:eastAsia="en-GB"/>
            </w:rPr>
          </w:pPr>
          <w:hyperlink w:anchor="_Toc482362333" w:history="1">
            <w:r w:rsidR="00A66A8D" w:rsidRPr="00BF5C0F">
              <w:rPr>
                <w:rStyle w:val="Hyperlink"/>
                <w:rFonts w:eastAsia="Arial Unicode MS" w:cstheme="minorHAnsi"/>
                <w:noProof/>
                <w:color w:val="auto"/>
              </w:rPr>
              <w:t>Section 5 – Definition of special educational needs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_Toc482362333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4</w:t>
            </w:r>
            <w:r w:rsidR="00A66A8D" w:rsidRPr="00BF5C0F">
              <w:rPr>
                <w:rFonts w:cstheme="minorHAnsi"/>
                <w:noProof/>
                <w:webHidden/>
              </w:rPr>
              <w:fldChar w:fldCharType="end"/>
            </w:r>
          </w:hyperlink>
        </w:p>
        <w:p w14:paraId="7ADEDF7A" w14:textId="4E7E2D3F" w:rsidR="006F21AD" w:rsidRPr="00BF5C0F" w:rsidRDefault="00600D41">
          <w:pPr>
            <w:pStyle w:val="TOC1"/>
            <w:tabs>
              <w:tab w:val="right" w:leader="dot" w:pos="9016"/>
            </w:tabs>
            <w:rPr>
              <w:rFonts w:eastAsiaTheme="minorEastAsia" w:cstheme="minorHAnsi"/>
              <w:noProof/>
              <w:lang w:eastAsia="en-GB"/>
            </w:rPr>
          </w:pPr>
          <w:hyperlink w:anchor="_Toc482362334" w:history="1">
            <w:r w:rsidR="00A66A8D" w:rsidRPr="00BF5C0F">
              <w:rPr>
                <w:rStyle w:val="Hyperlink"/>
                <w:rFonts w:eastAsia="Arial Unicode MS" w:cstheme="minorHAnsi"/>
                <w:noProof/>
                <w:color w:val="auto"/>
              </w:rPr>
              <w:t>Section 6 - Arrangements for coordinating SEN provision</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_Toc482362334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4</w:t>
            </w:r>
            <w:r w:rsidR="00A66A8D" w:rsidRPr="00BF5C0F">
              <w:rPr>
                <w:rFonts w:cstheme="minorHAnsi"/>
                <w:noProof/>
                <w:webHidden/>
              </w:rPr>
              <w:fldChar w:fldCharType="end"/>
            </w:r>
          </w:hyperlink>
        </w:p>
        <w:p w14:paraId="6F349B55" w14:textId="1F73469F" w:rsidR="006F21AD" w:rsidRPr="00BF5C0F" w:rsidRDefault="00600D41">
          <w:pPr>
            <w:pStyle w:val="TOC1"/>
            <w:tabs>
              <w:tab w:val="right" w:leader="dot" w:pos="9016"/>
            </w:tabs>
            <w:rPr>
              <w:rFonts w:eastAsiaTheme="minorEastAsia" w:cstheme="minorHAnsi"/>
              <w:noProof/>
              <w:lang w:eastAsia="en-GB"/>
            </w:rPr>
          </w:pPr>
          <w:hyperlink w:anchor="_Toc482362335" w:history="1">
            <w:r w:rsidR="00A66A8D" w:rsidRPr="00BF5C0F">
              <w:rPr>
                <w:rStyle w:val="Hyperlink"/>
                <w:rFonts w:eastAsia="Arial Unicode MS" w:cstheme="minorHAnsi"/>
                <w:noProof/>
                <w:color w:val="auto"/>
              </w:rPr>
              <w:t>Section 7 - Identification of pupils with SEND</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_Toc482362335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4</w:t>
            </w:r>
            <w:r w:rsidR="00A66A8D" w:rsidRPr="00BF5C0F">
              <w:rPr>
                <w:rFonts w:cstheme="minorHAnsi"/>
                <w:noProof/>
                <w:webHidden/>
              </w:rPr>
              <w:fldChar w:fldCharType="end"/>
            </w:r>
          </w:hyperlink>
        </w:p>
        <w:p w14:paraId="1E875913" w14:textId="69EB32F3" w:rsidR="006F21AD" w:rsidRPr="00BF5C0F" w:rsidRDefault="00600D41">
          <w:pPr>
            <w:pStyle w:val="TOC1"/>
            <w:tabs>
              <w:tab w:val="right" w:leader="dot" w:pos="9016"/>
            </w:tabs>
            <w:rPr>
              <w:rFonts w:eastAsiaTheme="minorEastAsia" w:cstheme="minorHAnsi"/>
              <w:noProof/>
              <w:lang w:eastAsia="en-GB"/>
            </w:rPr>
          </w:pPr>
          <w:hyperlink w:anchor="_Toc482362336" w:history="1">
            <w:r w:rsidR="00A66A8D" w:rsidRPr="00BF5C0F">
              <w:rPr>
                <w:rStyle w:val="Hyperlink"/>
                <w:rFonts w:eastAsia="Arial Unicode MS" w:cstheme="minorHAnsi"/>
                <w:noProof/>
                <w:color w:val="auto"/>
              </w:rPr>
              <w:t>Section 8 - The Graduated Response</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_Toc482362336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5</w:t>
            </w:r>
            <w:r w:rsidR="00A66A8D" w:rsidRPr="00BF5C0F">
              <w:rPr>
                <w:rFonts w:cstheme="minorHAnsi"/>
                <w:noProof/>
                <w:webHidden/>
              </w:rPr>
              <w:fldChar w:fldCharType="end"/>
            </w:r>
          </w:hyperlink>
        </w:p>
        <w:p w14:paraId="5D3CFDA0" w14:textId="6C0A13DF" w:rsidR="006F21AD" w:rsidRPr="00BF5C0F" w:rsidRDefault="00600D41">
          <w:pPr>
            <w:pStyle w:val="TOC1"/>
            <w:tabs>
              <w:tab w:val="right" w:leader="dot" w:pos="9016"/>
            </w:tabs>
            <w:rPr>
              <w:rFonts w:eastAsiaTheme="minorEastAsia" w:cstheme="minorHAnsi"/>
              <w:noProof/>
              <w:lang w:eastAsia="en-GB"/>
            </w:rPr>
          </w:pPr>
          <w:hyperlink w:anchor="_Toc482362337" w:history="1">
            <w:r w:rsidR="00A66A8D" w:rsidRPr="00BF5C0F">
              <w:rPr>
                <w:rStyle w:val="Hyperlink"/>
                <w:rFonts w:eastAsia="Arial Unicode MS" w:cstheme="minorHAnsi"/>
                <w:noProof/>
                <w:color w:val="auto"/>
              </w:rPr>
              <w:t>Section 9 - Evaluating the impact of provision</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_Toc482362337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5</w:t>
            </w:r>
            <w:r w:rsidR="00A66A8D" w:rsidRPr="00BF5C0F">
              <w:rPr>
                <w:rFonts w:cstheme="minorHAnsi"/>
                <w:noProof/>
                <w:webHidden/>
              </w:rPr>
              <w:fldChar w:fldCharType="end"/>
            </w:r>
          </w:hyperlink>
        </w:p>
        <w:p w14:paraId="79BA1337" w14:textId="4F17617C" w:rsidR="006F21AD" w:rsidRPr="00BF5C0F" w:rsidRDefault="00600D41">
          <w:pPr>
            <w:pStyle w:val="TOC1"/>
            <w:tabs>
              <w:tab w:val="right" w:leader="dot" w:pos="9016"/>
            </w:tabs>
            <w:rPr>
              <w:rFonts w:eastAsiaTheme="minorEastAsia" w:cstheme="minorHAnsi"/>
              <w:noProof/>
              <w:lang w:eastAsia="en-GB"/>
            </w:rPr>
          </w:pPr>
          <w:hyperlink w:anchor="_Toc482362338" w:history="1">
            <w:r w:rsidR="00A66A8D" w:rsidRPr="00BF5C0F">
              <w:rPr>
                <w:rStyle w:val="Hyperlink"/>
                <w:rFonts w:eastAsia="Arial Unicode MS" w:cstheme="minorHAnsi"/>
                <w:noProof/>
                <w:color w:val="auto"/>
              </w:rPr>
              <w:t>Section 10 - Referral for an Education, Health and Care Plan (EHCP)</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_Toc482362338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6</w:t>
            </w:r>
            <w:r w:rsidR="00A66A8D" w:rsidRPr="00BF5C0F">
              <w:rPr>
                <w:rFonts w:cstheme="minorHAnsi"/>
                <w:noProof/>
                <w:webHidden/>
              </w:rPr>
              <w:fldChar w:fldCharType="end"/>
            </w:r>
          </w:hyperlink>
        </w:p>
        <w:p w14:paraId="303117E1" w14:textId="5E6F6C66" w:rsidR="006F21AD" w:rsidRPr="00BF5C0F" w:rsidRDefault="00600D41">
          <w:pPr>
            <w:pStyle w:val="TOC1"/>
            <w:tabs>
              <w:tab w:val="right" w:leader="dot" w:pos="9016"/>
            </w:tabs>
            <w:rPr>
              <w:rFonts w:eastAsiaTheme="minorEastAsia" w:cstheme="minorHAnsi"/>
              <w:noProof/>
              <w:lang w:eastAsia="en-GB"/>
            </w:rPr>
          </w:pPr>
          <w:hyperlink w:anchor="_Toc482362339" w:history="1">
            <w:r w:rsidR="00A66A8D" w:rsidRPr="00BF5C0F">
              <w:rPr>
                <w:rStyle w:val="Hyperlink"/>
                <w:rFonts w:eastAsia="Arial Unicode MS" w:cstheme="minorHAnsi"/>
                <w:noProof/>
                <w:color w:val="auto"/>
              </w:rPr>
              <w:t>Section 11 - Exams Access Arrangements (EAA)</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_Toc482362339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6</w:t>
            </w:r>
            <w:r w:rsidR="00A66A8D" w:rsidRPr="00BF5C0F">
              <w:rPr>
                <w:rFonts w:cstheme="minorHAnsi"/>
                <w:noProof/>
                <w:webHidden/>
              </w:rPr>
              <w:fldChar w:fldCharType="end"/>
            </w:r>
          </w:hyperlink>
        </w:p>
        <w:p w14:paraId="309E88B3" w14:textId="1E889EE8" w:rsidR="006F21AD" w:rsidRPr="00BF5C0F" w:rsidRDefault="00600D41">
          <w:pPr>
            <w:pStyle w:val="TOC1"/>
            <w:tabs>
              <w:tab w:val="right" w:leader="dot" w:pos="9016"/>
            </w:tabs>
            <w:rPr>
              <w:rFonts w:eastAsiaTheme="minorEastAsia" w:cstheme="minorHAnsi"/>
              <w:noProof/>
              <w:lang w:eastAsia="en-GB"/>
            </w:rPr>
          </w:pPr>
          <w:hyperlink w:anchor="_Toc482362340" w:history="1">
            <w:r w:rsidR="00A66A8D" w:rsidRPr="00BF5C0F">
              <w:rPr>
                <w:rStyle w:val="Hyperlink"/>
                <w:rFonts w:eastAsia="Arial Unicode MS" w:cstheme="minorHAnsi"/>
                <w:noProof/>
                <w:color w:val="auto"/>
              </w:rPr>
              <w:t>Section 12 - Working in partnership with parents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_Toc482362340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6</w:t>
            </w:r>
            <w:r w:rsidR="00A66A8D" w:rsidRPr="00BF5C0F">
              <w:rPr>
                <w:rFonts w:cstheme="minorHAnsi"/>
                <w:noProof/>
                <w:webHidden/>
              </w:rPr>
              <w:fldChar w:fldCharType="end"/>
            </w:r>
          </w:hyperlink>
        </w:p>
        <w:p w14:paraId="39DE2EC7" w14:textId="431DFD8E" w:rsidR="006F21AD" w:rsidRPr="00BF5C0F" w:rsidRDefault="00600D41">
          <w:pPr>
            <w:pStyle w:val="TOC1"/>
            <w:tabs>
              <w:tab w:val="right" w:leader="dot" w:pos="9016"/>
            </w:tabs>
            <w:rPr>
              <w:rFonts w:eastAsiaTheme="minorEastAsia" w:cstheme="minorHAnsi"/>
              <w:noProof/>
              <w:lang w:eastAsia="en-GB"/>
            </w:rPr>
          </w:pPr>
          <w:hyperlink w:anchor="_Toc482362341" w:history="1">
            <w:r w:rsidR="00A66A8D" w:rsidRPr="00BF5C0F">
              <w:rPr>
                <w:rStyle w:val="Hyperlink"/>
                <w:rFonts w:eastAsia="Arial Unicode MS" w:cstheme="minorHAnsi"/>
                <w:noProof/>
                <w:color w:val="auto"/>
              </w:rPr>
              <w:t>Section 13 - Admission arrangements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_Toc482362341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6</w:t>
            </w:r>
            <w:r w:rsidR="00A66A8D" w:rsidRPr="00BF5C0F">
              <w:rPr>
                <w:rFonts w:cstheme="minorHAnsi"/>
                <w:noProof/>
                <w:webHidden/>
              </w:rPr>
              <w:fldChar w:fldCharType="end"/>
            </w:r>
          </w:hyperlink>
        </w:p>
        <w:p w14:paraId="6D4B00A7" w14:textId="23642AC0" w:rsidR="006F21AD" w:rsidRPr="00BF5C0F" w:rsidRDefault="00600D41">
          <w:pPr>
            <w:pStyle w:val="TOC1"/>
            <w:tabs>
              <w:tab w:val="right" w:leader="dot" w:pos="9016"/>
            </w:tabs>
            <w:rPr>
              <w:rFonts w:eastAsiaTheme="minorEastAsia" w:cstheme="minorHAnsi"/>
              <w:noProof/>
              <w:lang w:eastAsia="en-GB"/>
            </w:rPr>
          </w:pPr>
          <w:hyperlink w:anchor="_Toc482362342" w:history="1">
            <w:r w:rsidR="00A66A8D" w:rsidRPr="00BF5C0F">
              <w:rPr>
                <w:rStyle w:val="Hyperlink"/>
                <w:rFonts w:eastAsia="Arial Unicode MS" w:cstheme="minorHAnsi"/>
                <w:noProof/>
                <w:color w:val="auto"/>
              </w:rPr>
              <w:t>Section 14 - Transition</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_Toc482362342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7</w:t>
            </w:r>
            <w:r w:rsidR="00A66A8D" w:rsidRPr="00BF5C0F">
              <w:rPr>
                <w:rFonts w:cstheme="minorHAnsi"/>
                <w:noProof/>
                <w:webHidden/>
              </w:rPr>
              <w:fldChar w:fldCharType="end"/>
            </w:r>
          </w:hyperlink>
        </w:p>
        <w:p w14:paraId="30158F89" w14:textId="37724753" w:rsidR="006F21AD" w:rsidRPr="00BF5C0F" w:rsidRDefault="00600D41">
          <w:pPr>
            <w:pStyle w:val="TOC1"/>
            <w:tabs>
              <w:tab w:val="right" w:leader="dot" w:pos="9016"/>
            </w:tabs>
            <w:rPr>
              <w:rFonts w:eastAsiaTheme="minorEastAsia" w:cstheme="minorHAnsi"/>
              <w:noProof/>
              <w:lang w:eastAsia="en-GB"/>
            </w:rPr>
          </w:pPr>
          <w:hyperlink w:anchor="_Toc482362343" w:history="1">
            <w:r w:rsidR="00A66A8D" w:rsidRPr="00BF5C0F">
              <w:rPr>
                <w:rStyle w:val="Hyperlink"/>
                <w:rFonts w:eastAsia="Arial Unicode MS" w:cstheme="minorHAnsi"/>
                <w:noProof/>
                <w:color w:val="auto"/>
              </w:rPr>
              <w:t>Section 15 - Training</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_Toc482362343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7</w:t>
            </w:r>
            <w:r w:rsidR="00A66A8D" w:rsidRPr="00BF5C0F">
              <w:rPr>
                <w:rFonts w:cstheme="minorHAnsi"/>
                <w:noProof/>
                <w:webHidden/>
              </w:rPr>
              <w:fldChar w:fldCharType="end"/>
            </w:r>
          </w:hyperlink>
        </w:p>
        <w:p w14:paraId="4114C466" w14:textId="12F2F63E" w:rsidR="006F21AD" w:rsidRPr="00BF5C0F" w:rsidRDefault="00600D41">
          <w:pPr>
            <w:pStyle w:val="TOC1"/>
            <w:tabs>
              <w:tab w:val="right" w:leader="dot" w:pos="9016"/>
            </w:tabs>
            <w:rPr>
              <w:rFonts w:eastAsiaTheme="minorEastAsia" w:cstheme="minorHAnsi"/>
              <w:noProof/>
              <w:lang w:eastAsia="en-GB"/>
            </w:rPr>
          </w:pPr>
          <w:hyperlink w:anchor="_Toc482362344" w:history="1">
            <w:r w:rsidR="00A66A8D" w:rsidRPr="00BF5C0F">
              <w:rPr>
                <w:rStyle w:val="Hyperlink"/>
                <w:rFonts w:eastAsia="Arial Unicode MS" w:cstheme="minorHAnsi"/>
                <w:noProof/>
                <w:color w:val="auto"/>
              </w:rPr>
              <w:t>Section 16 - Links to support services/other agencies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_Toc482362344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7</w:t>
            </w:r>
            <w:r w:rsidR="00A66A8D" w:rsidRPr="00BF5C0F">
              <w:rPr>
                <w:rFonts w:cstheme="minorHAnsi"/>
                <w:noProof/>
                <w:webHidden/>
              </w:rPr>
              <w:fldChar w:fldCharType="end"/>
            </w:r>
          </w:hyperlink>
        </w:p>
        <w:p w14:paraId="7D09DAE9" w14:textId="03219B04" w:rsidR="006F21AD" w:rsidRPr="00BF5C0F" w:rsidRDefault="00600D41">
          <w:pPr>
            <w:pStyle w:val="TOC1"/>
            <w:tabs>
              <w:tab w:val="right" w:leader="dot" w:pos="9016"/>
            </w:tabs>
            <w:rPr>
              <w:rFonts w:eastAsiaTheme="minorEastAsia" w:cstheme="minorHAnsi"/>
              <w:noProof/>
              <w:lang w:eastAsia="en-GB"/>
            </w:rPr>
          </w:pPr>
          <w:hyperlink w:anchor="_Toc482362345" w:history="1">
            <w:r w:rsidR="00A66A8D" w:rsidRPr="00BF5C0F">
              <w:rPr>
                <w:rStyle w:val="Hyperlink"/>
                <w:rFonts w:eastAsia="Arial Unicode MS" w:cstheme="minorHAnsi"/>
                <w:noProof/>
                <w:color w:val="auto"/>
              </w:rPr>
              <w:t>Section 17 - Links with other schools</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_Toc482362345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7</w:t>
            </w:r>
            <w:r w:rsidR="00A66A8D" w:rsidRPr="00BF5C0F">
              <w:rPr>
                <w:rFonts w:cstheme="minorHAnsi"/>
                <w:noProof/>
                <w:webHidden/>
              </w:rPr>
              <w:fldChar w:fldCharType="end"/>
            </w:r>
          </w:hyperlink>
        </w:p>
        <w:p w14:paraId="299A2A31" w14:textId="5343FDF1" w:rsidR="006F21AD" w:rsidRPr="00BF5C0F" w:rsidRDefault="00600D41">
          <w:pPr>
            <w:pStyle w:val="TOC1"/>
            <w:tabs>
              <w:tab w:val="right" w:leader="dot" w:pos="9016"/>
            </w:tabs>
            <w:rPr>
              <w:rFonts w:eastAsiaTheme="minorEastAsia" w:cstheme="minorHAnsi"/>
              <w:noProof/>
              <w:lang w:eastAsia="en-GB"/>
            </w:rPr>
          </w:pPr>
          <w:hyperlink w:anchor="_Toc482362346" w:history="1">
            <w:r w:rsidR="00A66A8D" w:rsidRPr="00BF5C0F">
              <w:rPr>
                <w:rStyle w:val="Hyperlink"/>
                <w:rFonts w:eastAsia="Arial Unicode MS" w:cstheme="minorHAnsi"/>
                <w:noProof/>
                <w:color w:val="auto"/>
              </w:rPr>
              <w:t>Section 18 - Complaints procedure</w:t>
            </w:r>
            <w:r w:rsidR="00A66A8D" w:rsidRPr="00BF5C0F">
              <w:rPr>
                <w:rFonts w:cstheme="minorHAnsi"/>
                <w:noProof/>
                <w:webHidden/>
              </w:rPr>
              <w:tab/>
            </w:r>
            <w:r w:rsidR="00A66A8D" w:rsidRPr="00BF5C0F">
              <w:rPr>
                <w:rFonts w:cstheme="minorHAnsi"/>
                <w:noProof/>
                <w:webHidden/>
              </w:rPr>
              <w:fldChar w:fldCharType="begin"/>
            </w:r>
            <w:r w:rsidR="00A66A8D" w:rsidRPr="00BF5C0F">
              <w:rPr>
                <w:rFonts w:cstheme="minorHAnsi"/>
                <w:noProof/>
                <w:webHidden/>
              </w:rPr>
              <w:instrText xml:space="preserve"> PAGEREF _Toc482362346 \h </w:instrText>
            </w:r>
            <w:r w:rsidR="00A66A8D" w:rsidRPr="00BF5C0F">
              <w:rPr>
                <w:rFonts w:cstheme="minorHAnsi"/>
                <w:noProof/>
                <w:webHidden/>
              </w:rPr>
            </w:r>
            <w:r w:rsidR="00A66A8D" w:rsidRPr="00BF5C0F">
              <w:rPr>
                <w:rFonts w:cstheme="minorHAnsi"/>
                <w:noProof/>
                <w:webHidden/>
              </w:rPr>
              <w:fldChar w:fldCharType="separate"/>
            </w:r>
            <w:r w:rsidR="0085269C" w:rsidRPr="00BF5C0F">
              <w:rPr>
                <w:rFonts w:cstheme="minorHAnsi"/>
                <w:noProof/>
                <w:webHidden/>
              </w:rPr>
              <w:t>7</w:t>
            </w:r>
            <w:r w:rsidR="00A66A8D" w:rsidRPr="00BF5C0F">
              <w:rPr>
                <w:rFonts w:cstheme="minorHAnsi"/>
                <w:noProof/>
                <w:webHidden/>
              </w:rPr>
              <w:fldChar w:fldCharType="end"/>
            </w:r>
          </w:hyperlink>
        </w:p>
        <w:p w14:paraId="1FC39945" w14:textId="77777777" w:rsidR="006F21AD" w:rsidRPr="00BF5C0F" w:rsidRDefault="00A66A8D">
          <w:pPr>
            <w:rPr>
              <w:rFonts w:asciiTheme="minorHAnsi" w:hAnsiTheme="minorHAnsi" w:cstheme="minorHAnsi"/>
            </w:rPr>
          </w:pPr>
          <w:r w:rsidRPr="00BF5C0F">
            <w:rPr>
              <w:rFonts w:asciiTheme="minorHAnsi" w:hAnsiTheme="minorHAnsi" w:cstheme="minorHAnsi"/>
              <w:b/>
              <w:bCs/>
              <w:noProof/>
            </w:rPr>
            <w:fldChar w:fldCharType="end"/>
          </w:r>
        </w:p>
      </w:sdtContent>
    </w:sdt>
    <w:p w14:paraId="0562CB0E" w14:textId="77777777" w:rsidR="006F21AD" w:rsidRPr="00BF5C0F" w:rsidRDefault="006F21AD">
      <w:pPr>
        <w:jc w:val="both"/>
        <w:rPr>
          <w:rFonts w:asciiTheme="minorHAnsi" w:eastAsia="Arial Unicode MS" w:hAnsiTheme="minorHAnsi" w:cstheme="minorHAnsi"/>
        </w:rPr>
      </w:pPr>
    </w:p>
    <w:p w14:paraId="34CE0A41" w14:textId="77777777" w:rsidR="006F21AD" w:rsidRPr="00BF5C0F" w:rsidRDefault="006F21AD">
      <w:pPr>
        <w:spacing w:line="240" w:lineRule="auto"/>
        <w:jc w:val="both"/>
        <w:rPr>
          <w:rFonts w:asciiTheme="minorHAnsi" w:eastAsia="Arial Unicode MS" w:hAnsiTheme="minorHAnsi" w:cstheme="minorHAnsi"/>
        </w:rPr>
      </w:pPr>
    </w:p>
    <w:p w14:paraId="62EBF3C5" w14:textId="77777777" w:rsidR="006F21AD" w:rsidRPr="00BF5C0F" w:rsidRDefault="006F21AD">
      <w:pPr>
        <w:spacing w:line="240" w:lineRule="auto"/>
        <w:jc w:val="both"/>
        <w:rPr>
          <w:rFonts w:asciiTheme="minorHAnsi" w:eastAsia="Arial Unicode MS" w:hAnsiTheme="minorHAnsi" w:cstheme="minorHAnsi"/>
        </w:rPr>
      </w:pPr>
    </w:p>
    <w:p w14:paraId="6D98A12B" w14:textId="77777777" w:rsidR="006F21AD" w:rsidRPr="00BF5C0F" w:rsidRDefault="006F21AD">
      <w:pPr>
        <w:spacing w:line="240" w:lineRule="auto"/>
        <w:jc w:val="both"/>
        <w:rPr>
          <w:rFonts w:asciiTheme="minorHAnsi" w:eastAsia="Arial Unicode MS" w:hAnsiTheme="minorHAnsi" w:cstheme="minorHAnsi"/>
        </w:rPr>
      </w:pPr>
    </w:p>
    <w:p w14:paraId="2946DB82" w14:textId="77777777" w:rsidR="006F21AD" w:rsidRPr="00BF5C0F" w:rsidRDefault="006F21AD">
      <w:pPr>
        <w:spacing w:line="240" w:lineRule="auto"/>
        <w:jc w:val="both"/>
        <w:rPr>
          <w:rFonts w:asciiTheme="minorHAnsi" w:eastAsia="Arial Unicode MS" w:hAnsiTheme="minorHAnsi" w:cstheme="minorHAnsi"/>
          <w:b/>
          <w:u w:val="single"/>
        </w:rPr>
      </w:pPr>
    </w:p>
    <w:p w14:paraId="5997CC1D" w14:textId="77777777" w:rsidR="006F21AD" w:rsidRPr="00BF5C0F" w:rsidRDefault="006F21AD">
      <w:pPr>
        <w:spacing w:line="240" w:lineRule="auto"/>
        <w:jc w:val="both"/>
        <w:rPr>
          <w:rFonts w:asciiTheme="minorHAnsi" w:eastAsia="Arial Unicode MS" w:hAnsiTheme="minorHAnsi" w:cstheme="minorHAnsi"/>
          <w:b/>
          <w:u w:val="single"/>
        </w:rPr>
      </w:pPr>
    </w:p>
    <w:p w14:paraId="110FFD37" w14:textId="77777777" w:rsidR="006F21AD" w:rsidRPr="00BF5C0F" w:rsidRDefault="006F21AD">
      <w:pPr>
        <w:spacing w:line="240" w:lineRule="auto"/>
        <w:jc w:val="both"/>
        <w:rPr>
          <w:rFonts w:asciiTheme="minorHAnsi" w:eastAsia="Arial Unicode MS" w:hAnsiTheme="minorHAnsi" w:cstheme="minorHAnsi"/>
          <w:b/>
          <w:u w:val="single"/>
        </w:rPr>
      </w:pPr>
    </w:p>
    <w:p w14:paraId="6B699379" w14:textId="77777777" w:rsidR="006F21AD" w:rsidRPr="00BF5C0F" w:rsidRDefault="006F21AD">
      <w:pPr>
        <w:spacing w:line="240" w:lineRule="auto"/>
        <w:jc w:val="both"/>
        <w:rPr>
          <w:rFonts w:asciiTheme="minorHAnsi" w:eastAsia="Arial Unicode MS" w:hAnsiTheme="minorHAnsi" w:cstheme="minorHAnsi"/>
          <w:b/>
          <w:u w:val="single"/>
        </w:rPr>
      </w:pPr>
    </w:p>
    <w:p w14:paraId="3FE9F23F" w14:textId="77777777" w:rsidR="006F21AD" w:rsidRPr="00BF5C0F" w:rsidRDefault="00A66A8D">
      <w:pPr>
        <w:jc w:val="both"/>
        <w:rPr>
          <w:rFonts w:asciiTheme="minorHAnsi" w:eastAsia="Arial Unicode MS" w:hAnsiTheme="minorHAnsi" w:cstheme="minorHAnsi"/>
          <w:b/>
          <w:u w:val="single"/>
        </w:rPr>
      </w:pPr>
      <w:r w:rsidRPr="00BF5C0F">
        <w:rPr>
          <w:rFonts w:asciiTheme="minorHAnsi" w:eastAsia="Arial Unicode MS" w:hAnsiTheme="minorHAnsi" w:cstheme="minorHAnsi"/>
          <w:b/>
          <w:u w:val="single"/>
        </w:rPr>
        <w:br w:type="page"/>
      </w:r>
    </w:p>
    <w:p w14:paraId="338E6B21" w14:textId="77777777" w:rsidR="006F21AD" w:rsidRPr="00BF5C0F" w:rsidRDefault="00A66A8D">
      <w:pPr>
        <w:pStyle w:val="Heading1"/>
        <w:jc w:val="both"/>
        <w:rPr>
          <w:rFonts w:asciiTheme="minorHAnsi" w:eastAsia="Arial Unicode MS" w:hAnsiTheme="minorHAnsi" w:cstheme="minorHAnsi"/>
          <w:b/>
          <w:color w:val="auto"/>
          <w:sz w:val="22"/>
          <w:szCs w:val="22"/>
        </w:rPr>
      </w:pPr>
      <w:bookmarkStart w:id="1" w:name="_Toc482362329"/>
      <w:r w:rsidRPr="00BF5C0F">
        <w:rPr>
          <w:rFonts w:asciiTheme="minorHAnsi" w:eastAsia="Arial Unicode MS" w:hAnsiTheme="minorHAnsi" w:cstheme="minorHAnsi"/>
          <w:color w:val="auto"/>
          <w:sz w:val="22"/>
          <w:szCs w:val="22"/>
        </w:rPr>
        <w:t>Section 1 - Compliance</w:t>
      </w:r>
      <w:bookmarkEnd w:id="1"/>
    </w:p>
    <w:p w14:paraId="4138C145" w14:textId="3322B0DB"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This policy complies with the requirements laid out in the </w:t>
      </w:r>
      <w:r w:rsidR="00ED3E66" w:rsidRPr="00BF5C0F">
        <w:rPr>
          <w:rFonts w:asciiTheme="minorHAnsi" w:eastAsia="Arial Unicode MS" w:hAnsiTheme="minorHAnsi" w:cstheme="minorHAnsi"/>
        </w:rPr>
        <w:t>SEND Code of Practice 0-25 (2015</w:t>
      </w:r>
      <w:r w:rsidRPr="00BF5C0F">
        <w:rPr>
          <w:rFonts w:asciiTheme="minorHAnsi" w:eastAsia="Arial Unicode MS" w:hAnsiTheme="minorHAnsi" w:cstheme="minorHAnsi"/>
        </w:rPr>
        <w:t>) and has been written with reference to the following guidance and documents.</w:t>
      </w:r>
    </w:p>
    <w:p w14:paraId="195CE297" w14:textId="77777777"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Equality Act (2010)</w:t>
      </w:r>
    </w:p>
    <w:p w14:paraId="09E7708F" w14:textId="77777777"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Children and Families Act (2014)</w:t>
      </w:r>
    </w:p>
    <w:p w14:paraId="2CF24CB9" w14:textId="77777777"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Special Educational Needs and Disability Regulations (2014)</w:t>
      </w:r>
    </w:p>
    <w:p w14:paraId="009F1627" w14:textId="77777777"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Statutory Guidance on Supporting Students at school with Medical Conditions (2015)</w:t>
      </w:r>
    </w:p>
    <w:p w14:paraId="46A24DB9" w14:textId="77777777" w:rsidR="006F21AD" w:rsidRPr="00BF5C0F" w:rsidRDefault="00A66A8D">
      <w:pPr>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Schools SEND Information Report Regulations (2014)</w:t>
      </w:r>
    </w:p>
    <w:p w14:paraId="1F72F646" w14:textId="77777777" w:rsidR="006F21AD" w:rsidRPr="00BF5C0F" w:rsidRDefault="006F21AD">
      <w:pPr>
        <w:spacing w:line="240" w:lineRule="auto"/>
        <w:jc w:val="both"/>
        <w:rPr>
          <w:rFonts w:asciiTheme="minorHAnsi" w:eastAsia="Arial Unicode MS" w:hAnsiTheme="minorHAnsi" w:cstheme="minorHAnsi"/>
        </w:rPr>
      </w:pPr>
    </w:p>
    <w:p w14:paraId="5BAEA618"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2" w:name="_Toc482362330"/>
      <w:r w:rsidRPr="00BF5C0F">
        <w:rPr>
          <w:rFonts w:asciiTheme="minorHAnsi" w:eastAsia="Arial Unicode MS" w:hAnsiTheme="minorHAnsi" w:cstheme="minorHAnsi"/>
          <w:color w:val="auto"/>
          <w:sz w:val="22"/>
          <w:szCs w:val="22"/>
        </w:rPr>
        <w:t>Section 2 - Vision and Principles</w:t>
      </w:r>
      <w:bookmarkEnd w:id="2"/>
    </w:p>
    <w:p w14:paraId="6CB0EC67" w14:textId="08C4251D" w:rsidR="006F21AD" w:rsidRPr="00BF5C0F" w:rsidRDefault="00FE75C2">
      <w:pPr>
        <w:pStyle w:val="ListParagraph"/>
        <w:numPr>
          <w:ilvl w:val="0"/>
          <w:numId w:val="6"/>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Bolsover School</w:t>
      </w:r>
      <w:r w:rsidR="00A66A8D" w:rsidRPr="00BF5C0F">
        <w:rPr>
          <w:rFonts w:asciiTheme="minorHAnsi" w:eastAsia="Arial Unicode MS" w:hAnsiTheme="minorHAnsi" w:cstheme="minorHAnsi"/>
        </w:rPr>
        <w:t xml:space="preserve"> will ensure that it has in place effective policy and practice which will enable students with Special Educational Needs to reach their full potential, to be fully included in the school community and make successful transition to adulthood.  </w:t>
      </w:r>
    </w:p>
    <w:p w14:paraId="08CE6F91" w14:textId="77777777" w:rsidR="006F21AD" w:rsidRPr="00BF5C0F" w:rsidRDefault="006F21AD">
      <w:pPr>
        <w:spacing w:after="0" w:line="240" w:lineRule="auto"/>
        <w:jc w:val="both"/>
        <w:rPr>
          <w:rFonts w:asciiTheme="minorHAnsi" w:eastAsia="Arial Unicode MS" w:hAnsiTheme="minorHAnsi" w:cstheme="minorHAnsi"/>
        </w:rPr>
      </w:pPr>
    </w:p>
    <w:p w14:paraId="530E7A19" w14:textId="2461CEAC" w:rsidR="006F21AD" w:rsidRPr="00BF5C0F" w:rsidRDefault="00735E62">
      <w:pPr>
        <w:pStyle w:val="ListParagraph"/>
        <w:numPr>
          <w:ilvl w:val="0"/>
          <w:numId w:val="6"/>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At </w:t>
      </w:r>
      <w:r w:rsidR="00FE75C2" w:rsidRPr="00BF5C0F">
        <w:rPr>
          <w:rFonts w:asciiTheme="minorHAnsi" w:eastAsia="Arial Unicode MS" w:hAnsiTheme="minorHAnsi" w:cstheme="minorHAnsi"/>
        </w:rPr>
        <w:t xml:space="preserve">Bolsover School, </w:t>
      </w:r>
      <w:r w:rsidR="00A66A8D" w:rsidRPr="00BF5C0F">
        <w:rPr>
          <w:rFonts w:asciiTheme="minorHAnsi" w:eastAsia="Arial Unicode MS" w:hAnsiTheme="minorHAnsi" w:cstheme="minorHAnsi"/>
        </w:rPr>
        <w:t xml:space="preserve">all teachers are teachers of SEND.  </w:t>
      </w:r>
    </w:p>
    <w:p w14:paraId="61CDCEAD" w14:textId="77777777" w:rsidR="006F21AD" w:rsidRPr="00BF5C0F" w:rsidRDefault="006F21AD">
      <w:pPr>
        <w:pStyle w:val="ListParagraph"/>
        <w:jc w:val="both"/>
        <w:rPr>
          <w:rFonts w:asciiTheme="minorHAnsi" w:eastAsia="Arial Unicode MS" w:hAnsiTheme="minorHAnsi" w:cstheme="minorHAnsi"/>
        </w:rPr>
      </w:pPr>
    </w:p>
    <w:p w14:paraId="4EF6DC8A" w14:textId="77777777" w:rsidR="006F21AD" w:rsidRPr="00BF5C0F" w:rsidRDefault="00A66A8D">
      <w:pPr>
        <w:pStyle w:val="ListParagraph"/>
        <w:numPr>
          <w:ilvl w:val="0"/>
          <w:numId w:val="6"/>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We believe that all children can be helped to overcome barriers to learning and experience success.</w:t>
      </w:r>
    </w:p>
    <w:p w14:paraId="6BB9E253" w14:textId="77777777" w:rsidR="006F21AD" w:rsidRPr="00BF5C0F" w:rsidRDefault="006F21AD">
      <w:pPr>
        <w:spacing w:after="0" w:line="240" w:lineRule="auto"/>
        <w:jc w:val="both"/>
        <w:rPr>
          <w:rFonts w:asciiTheme="minorHAnsi" w:eastAsia="Arial Unicode MS" w:hAnsiTheme="minorHAnsi" w:cstheme="minorHAnsi"/>
        </w:rPr>
      </w:pPr>
    </w:p>
    <w:p w14:paraId="75F384F3"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3" w:name="_Toc482362331"/>
      <w:r w:rsidRPr="00BF5C0F">
        <w:rPr>
          <w:rFonts w:asciiTheme="minorHAnsi" w:eastAsia="Arial Unicode MS" w:hAnsiTheme="minorHAnsi" w:cstheme="minorHAnsi"/>
          <w:color w:val="auto"/>
          <w:sz w:val="22"/>
          <w:szCs w:val="22"/>
        </w:rPr>
        <w:t>Section 3 - Responsibil</w:t>
      </w:r>
      <w:r w:rsidR="00357344" w:rsidRPr="00BF5C0F">
        <w:rPr>
          <w:rFonts w:asciiTheme="minorHAnsi" w:eastAsia="Arial Unicode MS" w:hAnsiTheme="minorHAnsi" w:cstheme="minorHAnsi"/>
          <w:color w:val="auto"/>
          <w:sz w:val="22"/>
          <w:szCs w:val="22"/>
        </w:rPr>
        <w:t xml:space="preserve">ity for the coordination of SEND </w:t>
      </w:r>
      <w:r w:rsidRPr="00BF5C0F">
        <w:rPr>
          <w:rFonts w:asciiTheme="minorHAnsi" w:eastAsia="Arial Unicode MS" w:hAnsiTheme="minorHAnsi" w:cstheme="minorHAnsi"/>
          <w:color w:val="auto"/>
          <w:sz w:val="22"/>
          <w:szCs w:val="22"/>
        </w:rPr>
        <w:t>provision</w:t>
      </w:r>
      <w:bookmarkEnd w:id="3"/>
    </w:p>
    <w:p w14:paraId="23DE523C" w14:textId="341D7D95" w:rsidR="006F21AD" w:rsidRPr="00BF5C0F" w:rsidRDefault="00A66A8D" w:rsidP="00E979FB">
      <w:pPr>
        <w:pStyle w:val="ListParagraph"/>
        <w:numPr>
          <w:ilvl w:val="0"/>
          <w:numId w:val="7"/>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The person responsible for overseeing the provision for </w:t>
      </w:r>
      <w:r w:rsidR="00357344" w:rsidRPr="00BF5C0F">
        <w:rPr>
          <w:rFonts w:asciiTheme="minorHAnsi" w:eastAsia="Arial Unicode MS" w:hAnsiTheme="minorHAnsi" w:cstheme="minorHAnsi"/>
        </w:rPr>
        <w:t xml:space="preserve">children with SEND </w:t>
      </w:r>
      <w:r w:rsidR="00FE75C2" w:rsidRPr="00BF5C0F">
        <w:rPr>
          <w:rFonts w:asciiTheme="minorHAnsi" w:eastAsia="Arial Unicode MS" w:hAnsiTheme="minorHAnsi" w:cstheme="minorHAnsi"/>
        </w:rPr>
        <w:t>is Miss S Spence</w:t>
      </w:r>
    </w:p>
    <w:p w14:paraId="337213E6" w14:textId="7A57CD02" w:rsidR="006F21AD" w:rsidRPr="00BF5C0F" w:rsidRDefault="00A66A8D">
      <w:pPr>
        <w:pStyle w:val="ListParagraph"/>
        <w:numPr>
          <w:ilvl w:val="0"/>
          <w:numId w:val="7"/>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The person responsible for coordinating the </w:t>
      </w:r>
      <w:r w:rsidR="006102F2" w:rsidRPr="00BF5C0F">
        <w:rPr>
          <w:rFonts w:asciiTheme="minorHAnsi" w:eastAsia="Arial Unicode MS" w:hAnsiTheme="minorHAnsi" w:cstheme="minorHAnsi"/>
        </w:rPr>
        <w:t>day-to-day</w:t>
      </w:r>
      <w:r w:rsidRPr="00BF5C0F">
        <w:rPr>
          <w:rFonts w:asciiTheme="minorHAnsi" w:eastAsia="Arial Unicode MS" w:hAnsiTheme="minorHAnsi" w:cstheme="minorHAnsi"/>
        </w:rPr>
        <w:t xml:space="preserve"> provision of education for pupils </w:t>
      </w:r>
      <w:r w:rsidR="00357344" w:rsidRPr="00BF5C0F">
        <w:rPr>
          <w:rFonts w:asciiTheme="minorHAnsi" w:eastAsia="Arial Unicode MS" w:hAnsiTheme="minorHAnsi" w:cstheme="minorHAnsi"/>
        </w:rPr>
        <w:t xml:space="preserve">with SEND is </w:t>
      </w:r>
      <w:r w:rsidR="00FE75C2" w:rsidRPr="00BF5C0F">
        <w:rPr>
          <w:rFonts w:asciiTheme="minorHAnsi" w:eastAsia="Arial Unicode MS" w:hAnsiTheme="minorHAnsi" w:cstheme="minorHAnsi"/>
        </w:rPr>
        <w:t>Miss S Spence</w:t>
      </w:r>
      <w:r w:rsidR="00357344" w:rsidRPr="00BF5C0F">
        <w:rPr>
          <w:rFonts w:asciiTheme="minorHAnsi" w:eastAsia="Arial Unicode MS" w:hAnsiTheme="minorHAnsi" w:cstheme="minorHAnsi"/>
        </w:rPr>
        <w:t xml:space="preserve"> </w:t>
      </w:r>
      <w:r w:rsidRPr="00BF5C0F">
        <w:rPr>
          <w:rFonts w:asciiTheme="minorHAnsi" w:eastAsia="Arial Unicode MS" w:hAnsiTheme="minorHAnsi" w:cstheme="minorHAnsi"/>
        </w:rPr>
        <w:t>(SENCO)</w:t>
      </w:r>
      <w:r w:rsidR="00357344" w:rsidRPr="00BF5C0F">
        <w:rPr>
          <w:rFonts w:asciiTheme="minorHAnsi" w:eastAsia="Arial Unicode MS" w:hAnsiTheme="minorHAnsi" w:cstheme="minorHAnsi"/>
        </w:rPr>
        <w:t xml:space="preserve"> and </w:t>
      </w:r>
      <w:r w:rsidR="00FE75C2" w:rsidRPr="00BF5C0F">
        <w:rPr>
          <w:rFonts w:asciiTheme="minorHAnsi" w:eastAsia="Arial Unicode MS" w:hAnsiTheme="minorHAnsi" w:cstheme="minorHAnsi"/>
        </w:rPr>
        <w:t>Mrs M Hodkin.</w:t>
      </w:r>
    </w:p>
    <w:p w14:paraId="52E56223" w14:textId="77777777" w:rsidR="006F21AD" w:rsidRPr="00BF5C0F" w:rsidRDefault="006F21AD">
      <w:pPr>
        <w:tabs>
          <w:tab w:val="left" w:pos="3600"/>
        </w:tabs>
        <w:spacing w:line="240" w:lineRule="auto"/>
        <w:jc w:val="both"/>
        <w:rPr>
          <w:rFonts w:asciiTheme="minorHAnsi" w:eastAsia="Arial Unicode MS" w:hAnsiTheme="minorHAnsi" w:cstheme="minorHAnsi"/>
        </w:rPr>
      </w:pPr>
    </w:p>
    <w:p w14:paraId="3E5E1355"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4" w:name="_Toc482362332"/>
      <w:r w:rsidRPr="00BF5C0F">
        <w:rPr>
          <w:rFonts w:asciiTheme="minorHAnsi" w:eastAsia="Arial Unicode MS" w:hAnsiTheme="minorHAnsi" w:cstheme="minorHAnsi"/>
          <w:color w:val="auto"/>
          <w:sz w:val="22"/>
          <w:szCs w:val="22"/>
        </w:rPr>
        <w:t>Section 4 - Aims and objectives</w:t>
      </w:r>
      <w:bookmarkEnd w:id="4"/>
    </w:p>
    <w:p w14:paraId="13C4B946" w14:textId="3E7681A6" w:rsidR="006F21AD" w:rsidRPr="00BF5C0F" w:rsidRDefault="00A66A8D">
      <w:pPr>
        <w:tabs>
          <w:tab w:val="left" w:pos="3600"/>
        </w:tabs>
        <w:spacing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We aim to provide every student with access to a broad and balanced education.  In accordance with the Special Educational Needs Code of </w:t>
      </w:r>
      <w:r w:rsidR="006102F2" w:rsidRPr="00BF5C0F">
        <w:rPr>
          <w:rFonts w:asciiTheme="minorHAnsi" w:eastAsia="Arial Unicode MS" w:hAnsiTheme="minorHAnsi" w:cstheme="minorHAnsi"/>
        </w:rPr>
        <w:t>Practice,</w:t>
      </w:r>
      <w:r w:rsidRPr="00BF5C0F">
        <w:rPr>
          <w:rFonts w:asciiTheme="minorHAnsi" w:eastAsia="Arial Unicode MS" w:hAnsiTheme="minorHAnsi" w:cstheme="minorHAnsi"/>
        </w:rPr>
        <w:t xml:space="preserve"> we will enable students to:  achieve their best; become confident individuals and transfer to further education or training.</w:t>
      </w:r>
    </w:p>
    <w:p w14:paraId="2BD57EC0"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We aim to:</w:t>
      </w:r>
    </w:p>
    <w:p w14:paraId="07547A01" w14:textId="77777777" w:rsidR="006F21AD" w:rsidRPr="00BF5C0F" w:rsidRDefault="006F21AD">
      <w:pPr>
        <w:spacing w:after="0" w:line="240" w:lineRule="auto"/>
        <w:jc w:val="both"/>
        <w:rPr>
          <w:rFonts w:asciiTheme="minorHAnsi" w:eastAsia="Arial Unicode MS" w:hAnsiTheme="minorHAnsi" w:cstheme="minorHAnsi"/>
        </w:rPr>
      </w:pPr>
    </w:p>
    <w:p w14:paraId="253527DD" w14:textId="6AB1A482" w:rsidR="006F21AD" w:rsidRPr="00BF5C0F" w:rsidRDefault="4204AA23" w:rsidP="4204AA23">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Promote high standards of education for children with SEND</w:t>
      </w:r>
    </w:p>
    <w:p w14:paraId="391C304A" w14:textId="66B6692D" w:rsidR="006F21AD" w:rsidRPr="00BF5C0F" w:rsidRDefault="4204AA23" w:rsidP="4204AA23">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Encourage children with SEND to participate fully in their school and community and be involved in the target setting process (making own decisions about their education).</w:t>
      </w:r>
    </w:p>
    <w:p w14:paraId="74BF3DEC" w14:textId="77777777" w:rsidR="006F21AD" w:rsidRPr="00BF5C0F" w:rsidRDefault="00A66A8D">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Ensure that all children are given the opportunities to feel valued and to share in the recognition of their achievements.  </w:t>
      </w:r>
    </w:p>
    <w:p w14:paraId="0B410A64" w14:textId="77777777" w:rsidR="006F21AD" w:rsidRPr="00BF5C0F" w:rsidRDefault="00A66A8D">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Make early identification of SEN and address them appropriately.</w:t>
      </w:r>
    </w:p>
    <w:p w14:paraId="1CAF200D" w14:textId="77777777" w:rsidR="006F21AD" w:rsidRPr="00BF5C0F" w:rsidRDefault="00A66A8D">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Encourage respect for all children regardless of aptitude and ability.</w:t>
      </w:r>
    </w:p>
    <w:p w14:paraId="60EE952C" w14:textId="72294A4F" w:rsidR="006F21AD" w:rsidRPr="00BF5C0F" w:rsidRDefault="4204AA23" w:rsidP="4204AA23">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To ensure parents are kept informed of and involved in the target setting, monitoring and review of their child’s progress.  This includes support in terms of understanding SEND procedures and support available and seeking parental views.</w:t>
      </w:r>
    </w:p>
    <w:p w14:paraId="5546B2F8" w14:textId="77777777" w:rsidR="006F21AD" w:rsidRPr="00BF5C0F" w:rsidRDefault="00A66A8D">
      <w:pPr>
        <w:numPr>
          <w:ilvl w:val="0"/>
          <w:numId w:val="1"/>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Work with outside agencies where necessary to ensure needs that cannot be met by the school alone are addressed.</w:t>
      </w:r>
      <w:r w:rsidRPr="00BF5C0F">
        <w:rPr>
          <w:rFonts w:asciiTheme="minorHAnsi" w:eastAsia="Arial Unicode MS" w:hAnsiTheme="minorHAnsi" w:cstheme="minorHAnsi"/>
          <w:b/>
          <w:u w:val="single"/>
        </w:rPr>
        <w:t xml:space="preserve"> </w:t>
      </w:r>
    </w:p>
    <w:p w14:paraId="5043CB0F" w14:textId="77777777" w:rsidR="006F21AD" w:rsidRPr="00BF5C0F" w:rsidRDefault="006F21AD">
      <w:pPr>
        <w:spacing w:after="0" w:line="240" w:lineRule="auto"/>
        <w:jc w:val="both"/>
        <w:rPr>
          <w:rFonts w:asciiTheme="minorHAnsi" w:eastAsia="Arial Unicode MS" w:hAnsiTheme="minorHAnsi" w:cstheme="minorHAnsi"/>
          <w:b/>
          <w:u w:val="single"/>
        </w:rPr>
      </w:pPr>
    </w:p>
    <w:p w14:paraId="550FDA75"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5" w:name="_Toc482362333"/>
      <w:r w:rsidRPr="00BF5C0F">
        <w:rPr>
          <w:rFonts w:asciiTheme="minorHAnsi" w:eastAsia="Arial Unicode MS" w:hAnsiTheme="minorHAnsi" w:cstheme="minorHAnsi"/>
          <w:color w:val="auto"/>
          <w:sz w:val="22"/>
          <w:szCs w:val="22"/>
        </w:rPr>
        <w:t>Section 5 – Definition of special educational needs</w:t>
      </w:r>
      <w:bookmarkEnd w:id="5"/>
    </w:p>
    <w:p w14:paraId="018F30DE"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Definition of Special Educational Needs (SEN) taken from section 20 of Children and Families Act 2014;</w:t>
      </w:r>
    </w:p>
    <w:p w14:paraId="07459315" w14:textId="77777777" w:rsidR="006F21AD" w:rsidRPr="00BF5C0F" w:rsidRDefault="006F21AD">
      <w:pPr>
        <w:spacing w:after="0" w:line="240" w:lineRule="auto"/>
        <w:jc w:val="both"/>
        <w:rPr>
          <w:rFonts w:asciiTheme="minorHAnsi" w:eastAsia="Arial Unicode MS" w:hAnsiTheme="minorHAnsi" w:cstheme="minorHAnsi"/>
          <w:b/>
          <w:u w:val="single"/>
        </w:rPr>
      </w:pPr>
    </w:p>
    <w:p w14:paraId="7C012DBF" w14:textId="77777777" w:rsidR="006F21AD" w:rsidRPr="00BF5C0F" w:rsidRDefault="00A66A8D">
      <w:pPr>
        <w:pStyle w:val="Default"/>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14:paraId="6537F28F" w14:textId="77777777" w:rsidR="006F21AD" w:rsidRPr="00BF5C0F" w:rsidRDefault="006F21AD">
      <w:pPr>
        <w:pStyle w:val="Default"/>
        <w:jc w:val="both"/>
        <w:rPr>
          <w:rFonts w:asciiTheme="minorHAnsi" w:eastAsia="Arial Unicode MS" w:hAnsiTheme="minorHAnsi" w:cstheme="minorHAnsi"/>
          <w:color w:val="auto"/>
          <w:sz w:val="22"/>
          <w:szCs w:val="22"/>
        </w:rPr>
      </w:pPr>
    </w:p>
    <w:p w14:paraId="1B1CE21D" w14:textId="77777777" w:rsidR="006F21AD" w:rsidRPr="00BF5C0F" w:rsidRDefault="00A66A8D">
      <w:pPr>
        <w:pStyle w:val="Default"/>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a) Have a significantly greater difficulty in learning than the majority of others of the same age; or </w:t>
      </w:r>
    </w:p>
    <w:p w14:paraId="6DFB9E20" w14:textId="77777777" w:rsidR="006F21AD" w:rsidRPr="00BF5C0F" w:rsidRDefault="006F21AD">
      <w:pPr>
        <w:pStyle w:val="Default"/>
        <w:jc w:val="both"/>
        <w:rPr>
          <w:rFonts w:asciiTheme="minorHAnsi" w:eastAsia="Arial Unicode MS" w:hAnsiTheme="minorHAnsi" w:cstheme="minorHAnsi"/>
          <w:color w:val="auto"/>
          <w:sz w:val="22"/>
          <w:szCs w:val="22"/>
        </w:rPr>
      </w:pPr>
    </w:p>
    <w:p w14:paraId="7C6A6C0A" w14:textId="28998C93" w:rsidR="006F21AD" w:rsidRPr="00BF5C0F" w:rsidRDefault="00A66A8D">
      <w:pPr>
        <w:pStyle w:val="Default"/>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b) Have a </w:t>
      </w:r>
      <w:r w:rsidR="006102F2" w:rsidRPr="00BF5C0F">
        <w:rPr>
          <w:rFonts w:asciiTheme="minorHAnsi" w:eastAsia="Arial Unicode MS" w:hAnsiTheme="minorHAnsi" w:cstheme="minorHAnsi"/>
          <w:color w:val="auto"/>
          <w:sz w:val="22"/>
          <w:szCs w:val="22"/>
        </w:rPr>
        <w:t>disability that</w:t>
      </w:r>
      <w:r w:rsidRPr="00BF5C0F">
        <w:rPr>
          <w:rFonts w:asciiTheme="minorHAnsi" w:eastAsia="Arial Unicode MS" w:hAnsiTheme="minorHAnsi" w:cstheme="minorHAnsi"/>
          <w:color w:val="auto"/>
          <w:sz w:val="22"/>
          <w:szCs w:val="22"/>
        </w:rPr>
        <w:t xml:space="preserve"> prevents or hinders them from making use of educational facilities of a kind generally provided for others of the same age in mainstream schools or mainstream post-16 institutions. ‘</w:t>
      </w:r>
    </w:p>
    <w:p w14:paraId="1FCB4E51"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6" w:name="_Toc482362334"/>
      <w:r w:rsidRPr="00BF5C0F">
        <w:rPr>
          <w:rFonts w:asciiTheme="minorHAnsi" w:eastAsia="Arial Unicode MS" w:hAnsiTheme="minorHAnsi" w:cstheme="minorHAnsi"/>
          <w:color w:val="auto"/>
          <w:sz w:val="22"/>
          <w:szCs w:val="22"/>
        </w:rPr>
        <w:t>Section 6 - Arrangements for coordinating SEN provision</w:t>
      </w:r>
      <w:bookmarkEnd w:id="6"/>
    </w:p>
    <w:p w14:paraId="7DDBEA8C" w14:textId="0860D2F1"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The SENCO will hold details of all information, including provision maps and targets for pupils identified with SEND.  </w:t>
      </w:r>
    </w:p>
    <w:p w14:paraId="348FEB14"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following information is easily accessible to all staff:</w:t>
      </w:r>
    </w:p>
    <w:p w14:paraId="3CA34D70" w14:textId="1C1ECA4C" w:rsidR="006F21AD" w:rsidRPr="00BF5C0F" w:rsidRDefault="4204AA23" w:rsidP="4204AA23">
      <w:pPr>
        <w:pStyle w:val="ListParagraph"/>
        <w:numPr>
          <w:ilvl w:val="0"/>
          <w:numId w:val="2"/>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A copy of the school’s SEND policy and register.</w:t>
      </w:r>
    </w:p>
    <w:p w14:paraId="3BE72BD2" w14:textId="77777777" w:rsidR="006F21AD" w:rsidRPr="00BF5C0F" w:rsidRDefault="00A66A8D">
      <w:pPr>
        <w:pStyle w:val="ListParagraph"/>
        <w:numPr>
          <w:ilvl w:val="0"/>
          <w:numId w:val="2"/>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Guidance on the identification of special educational needs.</w:t>
      </w:r>
    </w:p>
    <w:p w14:paraId="4BB1A07B" w14:textId="77777777" w:rsidR="006F21AD" w:rsidRPr="00BF5C0F" w:rsidRDefault="00A66A8D">
      <w:pPr>
        <w:pStyle w:val="ListParagraph"/>
        <w:numPr>
          <w:ilvl w:val="0"/>
          <w:numId w:val="2"/>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Practical advice and teaching strategies for types of special educational needs.</w:t>
      </w:r>
    </w:p>
    <w:p w14:paraId="22634C53" w14:textId="77777777" w:rsidR="006F21AD" w:rsidRPr="00BF5C0F" w:rsidRDefault="00A66A8D">
      <w:pPr>
        <w:pStyle w:val="ListParagraph"/>
        <w:numPr>
          <w:ilvl w:val="0"/>
          <w:numId w:val="2"/>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Information and strategies for individual pupils.</w:t>
      </w:r>
    </w:p>
    <w:p w14:paraId="5F84BF0C" w14:textId="03522529" w:rsidR="006F21AD" w:rsidRPr="00BF5C0F" w:rsidRDefault="00A66A8D">
      <w:pPr>
        <w:pStyle w:val="ListParagraph"/>
        <w:numPr>
          <w:ilvl w:val="0"/>
          <w:numId w:val="2"/>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Information </w:t>
      </w:r>
      <w:r w:rsidR="003132C2" w:rsidRPr="00BF5C0F">
        <w:rPr>
          <w:rFonts w:asciiTheme="minorHAnsi" w:eastAsia="Arial Unicode MS" w:hAnsiTheme="minorHAnsi" w:cstheme="minorHAnsi"/>
        </w:rPr>
        <w:t>available through the Derby</w:t>
      </w:r>
      <w:r w:rsidRPr="00BF5C0F">
        <w:rPr>
          <w:rFonts w:asciiTheme="minorHAnsi" w:eastAsia="Arial Unicode MS" w:hAnsiTheme="minorHAnsi" w:cstheme="minorHAnsi"/>
        </w:rPr>
        <w:t>shire’s SEND Local Offer.</w:t>
      </w:r>
    </w:p>
    <w:p w14:paraId="70DF9E56" w14:textId="77777777" w:rsidR="006F21AD" w:rsidRPr="00BF5C0F" w:rsidRDefault="006F21AD">
      <w:pPr>
        <w:pStyle w:val="ListParagraph"/>
        <w:spacing w:after="0" w:line="240" w:lineRule="auto"/>
        <w:jc w:val="both"/>
        <w:rPr>
          <w:rFonts w:asciiTheme="minorHAnsi" w:eastAsia="Arial Unicode MS" w:hAnsiTheme="minorHAnsi" w:cstheme="minorHAnsi"/>
        </w:rPr>
      </w:pPr>
    </w:p>
    <w:p w14:paraId="0C1A1685" w14:textId="0BEE80AD"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This information is made accessible to all staff in order to aid the effective coordination of the school’s SEND provision.  In this way, every member of staff will have complete and up-to-date information about all pupils with special educational needs and/or </w:t>
      </w:r>
      <w:r w:rsidR="006102F2" w:rsidRPr="00BF5C0F">
        <w:rPr>
          <w:rFonts w:asciiTheme="minorHAnsi" w:eastAsia="Arial Unicode MS" w:hAnsiTheme="minorHAnsi" w:cstheme="minorHAnsi"/>
        </w:rPr>
        <w:t>disabilities and</w:t>
      </w:r>
      <w:r w:rsidRPr="00BF5C0F">
        <w:rPr>
          <w:rFonts w:asciiTheme="minorHAnsi" w:eastAsia="Arial Unicode MS" w:hAnsiTheme="minorHAnsi" w:cstheme="minorHAnsi"/>
        </w:rPr>
        <w:t xml:space="preserve"> their requirements which will enable them to provide for the individual needs of all.</w:t>
      </w:r>
    </w:p>
    <w:p w14:paraId="2BF0FC41"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7" w:name="_Toc482362335"/>
      <w:r w:rsidRPr="00BF5C0F">
        <w:rPr>
          <w:rFonts w:asciiTheme="minorHAnsi" w:eastAsia="Arial Unicode MS" w:hAnsiTheme="minorHAnsi" w:cstheme="minorHAnsi"/>
          <w:color w:val="auto"/>
          <w:sz w:val="22"/>
          <w:szCs w:val="22"/>
        </w:rPr>
        <w:t>Section 7 - Identification of pupils with SEND</w:t>
      </w:r>
      <w:bookmarkEnd w:id="7"/>
    </w:p>
    <w:p w14:paraId="71865842" w14:textId="3A7646F2"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SE</w:t>
      </w:r>
      <w:r w:rsidR="00BE7A62" w:rsidRPr="00BF5C0F">
        <w:rPr>
          <w:rFonts w:asciiTheme="minorHAnsi" w:eastAsia="Arial Unicode MS" w:hAnsiTheme="minorHAnsi" w:cstheme="minorHAnsi"/>
        </w:rPr>
        <w:t>N Code of Practice (2015</w:t>
      </w:r>
      <w:r w:rsidRPr="00BF5C0F">
        <w:rPr>
          <w:rFonts w:asciiTheme="minorHAnsi" w:eastAsia="Arial Unicode MS" w:hAnsiTheme="minorHAnsi" w:cstheme="minorHAnsi"/>
        </w:rPr>
        <w:t xml:space="preserve">) outlines four broad categories of SEND need:  Communication and Interaction; Cognition and Learning; Social, Emotional and Mental Health and Sensory and/or Physical.  We aim to identify difficulties as early as possible in order to make effective provision to improve the long-term outcomes for students.  To ensure all needs are identified efficiently all staff are given the responsibility for monitoring students and reporting any difficulties without delay to the school’s SENCO.  Once a pupil has been </w:t>
      </w:r>
      <w:r w:rsidR="006102F2" w:rsidRPr="00BF5C0F">
        <w:rPr>
          <w:rFonts w:asciiTheme="minorHAnsi" w:eastAsia="Arial Unicode MS" w:hAnsiTheme="minorHAnsi" w:cstheme="minorHAnsi"/>
        </w:rPr>
        <w:t>identified,</w:t>
      </w:r>
      <w:r w:rsidRPr="00BF5C0F">
        <w:rPr>
          <w:rFonts w:asciiTheme="minorHAnsi" w:eastAsia="Arial Unicode MS" w:hAnsiTheme="minorHAnsi" w:cstheme="minorHAnsi"/>
        </w:rPr>
        <w:t xml:space="preserve"> the school’s SENCO will investigate further.  If a student is considered to have special educational needs, parents will be informed and a graduated response of support put in place.</w:t>
      </w:r>
    </w:p>
    <w:p w14:paraId="44E871BC" w14:textId="77777777" w:rsidR="006F21AD" w:rsidRPr="00BF5C0F" w:rsidRDefault="006F21AD">
      <w:pPr>
        <w:spacing w:after="0" w:line="240" w:lineRule="auto"/>
        <w:jc w:val="both"/>
        <w:rPr>
          <w:rFonts w:asciiTheme="minorHAnsi" w:eastAsia="Arial Unicode MS" w:hAnsiTheme="minorHAnsi" w:cstheme="minorHAnsi"/>
        </w:rPr>
      </w:pPr>
    </w:p>
    <w:p w14:paraId="09B8C179" w14:textId="50D8179C" w:rsidR="006F21AD" w:rsidRPr="00BF5C0F" w:rsidRDefault="00BE7A62">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SEN Code of Practice (2015</w:t>
      </w:r>
      <w:r w:rsidR="00A66A8D" w:rsidRPr="00BF5C0F">
        <w:rPr>
          <w:rFonts w:asciiTheme="minorHAnsi" w:eastAsia="Arial Unicode MS" w:hAnsiTheme="minorHAnsi" w:cstheme="minorHAnsi"/>
        </w:rPr>
        <w:t xml:space="preserve">) states that ‘high quality teaching that is differentiated and personalised will meet the individual needs of the majority of children and young people.  Some children and young people need education provision that is additional to or different from this.  This is special educational provision under Section 21 of the Children and Families Act 2014.  Schools and colleges </w:t>
      </w:r>
      <w:r w:rsidR="00A66A8D" w:rsidRPr="00BF5C0F">
        <w:rPr>
          <w:rFonts w:asciiTheme="minorHAnsi" w:eastAsia="Arial Unicode MS" w:hAnsiTheme="minorHAnsi" w:cstheme="minorHAnsi"/>
          <w:b/>
        </w:rPr>
        <w:t>must</w:t>
      </w:r>
      <w:r w:rsidR="00A66A8D" w:rsidRPr="00BF5C0F">
        <w:rPr>
          <w:rFonts w:asciiTheme="minorHAnsi" w:eastAsia="Arial Unicode MS" w:hAnsiTheme="minorHAnsi" w:cstheme="minorHAnsi"/>
        </w:rPr>
        <w:t xml:space="preserve"> use their best endeavours to ensure that such provision is made for those who need it.  Special educational provision is underpinned by high quality teaching and is compromised by anything less.’</w:t>
      </w:r>
    </w:p>
    <w:p w14:paraId="144A5D23" w14:textId="77777777" w:rsidR="006F21AD" w:rsidRPr="00BF5C0F" w:rsidRDefault="006F21AD">
      <w:pPr>
        <w:spacing w:after="0" w:line="240" w:lineRule="auto"/>
        <w:jc w:val="both"/>
        <w:rPr>
          <w:rFonts w:asciiTheme="minorHAnsi" w:eastAsia="Arial Unicode MS" w:hAnsiTheme="minorHAnsi" w:cstheme="minorHAnsi"/>
        </w:rPr>
      </w:pPr>
    </w:p>
    <w:p w14:paraId="5F8AADF5" w14:textId="217DC562"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To meet the needs of students identified as SEND the school adopts a graduated approach in accordance wit</w:t>
      </w:r>
      <w:r w:rsidR="00BE7A62" w:rsidRPr="00BF5C0F">
        <w:rPr>
          <w:rFonts w:asciiTheme="minorHAnsi" w:eastAsia="Arial Unicode MS" w:hAnsiTheme="minorHAnsi" w:cstheme="minorHAnsi"/>
        </w:rPr>
        <w:t>h the SEN Code of Practice (2015</w:t>
      </w:r>
      <w:r w:rsidRPr="00BF5C0F">
        <w:rPr>
          <w:rFonts w:asciiTheme="minorHAnsi" w:eastAsia="Arial Unicode MS" w:hAnsiTheme="minorHAnsi" w:cstheme="minorHAnsi"/>
        </w:rPr>
        <w:t>).  Every effort will be made to educate students with SEN alongside their peers in a mainstream classroom setting.  Where a child’s needs make this difficult, the SENCO will work closely with parents and other professionals for other flexible arrangements to be made.  An alternative curriculum may be necessary to meet the needs of some children with complex SEND needs.</w:t>
      </w:r>
    </w:p>
    <w:p w14:paraId="3C110EAB"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8" w:name="_Toc482362336"/>
      <w:r w:rsidRPr="00BF5C0F">
        <w:rPr>
          <w:rFonts w:asciiTheme="minorHAnsi" w:eastAsia="Arial Unicode MS" w:hAnsiTheme="minorHAnsi" w:cstheme="minorHAnsi"/>
          <w:color w:val="auto"/>
          <w:sz w:val="22"/>
          <w:szCs w:val="22"/>
        </w:rPr>
        <w:t>Section 8 - The Graduated Response</w:t>
      </w:r>
      <w:bookmarkEnd w:id="8"/>
    </w:p>
    <w:p w14:paraId="419937A2" w14:textId="77777777" w:rsidR="006F21AD" w:rsidRPr="00BF5C0F" w:rsidRDefault="00A66A8D">
      <w:pPr>
        <w:pStyle w:val="ListParagraph"/>
        <w:numPr>
          <w:ilvl w:val="0"/>
          <w:numId w:val="3"/>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Step 1 will involve the class teacher taking steps to differentiate learning opportunities to aid the pupil’s progression.  Classroom teachers remain responsible and accountable for the progress of students with SEN.  High quality differentiated teaching, supported by the SENCO where necessary, is the first step to responding to the needs of students with SEN.  </w:t>
      </w:r>
    </w:p>
    <w:p w14:paraId="417E9140" w14:textId="77777777" w:rsidR="006F21AD" w:rsidRPr="00BF5C0F" w:rsidRDefault="00A66A8D">
      <w:pPr>
        <w:pStyle w:val="ListParagraph"/>
        <w:numPr>
          <w:ilvl w:val="0"/>
          <w:numId w:val="3"/>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pupil will be closely monitored by the class teacher to assess their rate of progress and level of understanding.</w:t>
      </w:r>
    </w:p>
    <w:p w14:paraId="25871630" w14:textId="77777777" w:rsidR="006F21AD" w:rsidRPr="00BF5C0F" w:rsidRDefault="00A66A8D">
      <w:pPr>
        <w:pStyle w:val="ListParagraph"/>
        <w:numPr>
          <w:ilvl w:val="0"/>
          <w:numId w:val="3"/>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If progress remains below expected levels, further discussions between the class teacher and SENCO will determine whether further intervention is required.</w:t>
      </w:r>
    </w:p>
    <w:p w14:paraId="59296987" w14:textId="096C449F" w:rsidR="006F21AD" w:rsidRPr="00BF5C0F" w:rsidRDefault="4204AA23" w:rsidP="4204AA23">
      <w:pPr>
        <w:pStyle w:val="ListParagraph"/>
        <w:numPr>
          <w:ilvl w:val="0"/>
          <w:numId w:val="3"/>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If necessary, the pupil will be placed on the SEND register where they will also be monitored by the SENCO.  Additional support will be put in place.  This may be in the form of in class support, targeted teaching strategies, specific interventions or withdrawal sessions to close learning gaps.  At this </w:t>
      </w:r>
      <w:r w:rsidR="006102F2" w:rsidRPr="00BF5C0F">
        <w:rPr>
          <w:rFonts w:asciiTheme="minorHAnsi" w:eastAsia="Arial Unicode MS" w:hAnsiTheme="minorHAnsi" w:cstheme="minorHAnsi"/>
        </w:rPr>
        <w:t>stage,</w:t>
      </w:r>
      <w:r w:rsidRPr="00BF5C0F">
        <w:rPr>
          <w:rFonts w:asciiTheme="minorHAnsi" w:eastAsia="Arial Unicode MS" w:hAnsiTheme="minorHAnsi" w:cstheme="minorHAnsi"/>
        </w:rPr>
        <w:t xml:space="preserve"> parents will be informed and encouraged to share information and knowledge with the school.  </w:t>
      </w:r>
    </w:p>
    <w:p w14:paraId="2519213B" w14:textId="3A91E88C" w:rsidR="006F21AD" w:rsidRPr="00BF5C0F" w:rsidRDefault="00A66A8D">
      <w:pPr>
        <w:pStyle w:val="ListParagraph"/>
        <w:numPr>
          <w:ilvl w:val="0"/>
          <w:numId w:val="3"/>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Review meetings will take place to monitor and assess the progress being made by the pupil.  The frequency of these meetings is dependent on the individual child’s </w:t>
      </w:r>
      <w:r w:rsidR="006102F2" w:rsidRPr="00BF5C0F">
        <w:rPr>
          <w:rFonts w:asciiTheme="minorHAnsi" w:eastAsia="Arial Unicode MS" w:hAnsiTheme="minorHAnsi" w:cstheme="minorHAnsi"/>
        </w:rPr>
        <w:t>needs.  The school adopts an acc</w:t>
      </w:r>
      <w:r w:rsidRPr="00BF5C0F">
        <w:rPr>
          <w:rFonts w:asciiTheme="minorHAnsi" w:eastAsia="Arial Unicode MS" w:hAnsiTheme="minorHAnsi" w:cstheme="minorHAnsi"/>
        </w:rPr>
        <w:t>ess, plan, do, review approach – this is an ongoing cycle to enable the level of support to be refined and revised as required.</w:t>
      </w:r>
    </w:p>
    <w:p w14:paraId="5A718EA0"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9" w:name="_Toc482362337"/>
      <w:r w:rsidRPr="00BF5C0F">
        <w:rPr>
          <w:rFonts w:asciiTheme="minorHAnsi" w:eastAsia="Arial Unicode MS" w:hAnsiTheme="minorHAnsi" w:cstheme="minorHAnsi"/>
          <w:color w:val="auto"/>
          <w:sz w:val="22"/>
          <w:szCs w:val="22"/>
        </w:rPr>
        <w:t>Section 9 - Evaluating the impact of provision</w:t>
      </w:r>
      <w:bookmarkEnd w:id="9"/>
    </w:p>
    <w:p w14:paraId="0B8A6340" w14:textId="5246F3D8"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Children identified as having SEND will be placed on a register.  A profile of need will be created which will reflect the student’s views.  All students on the SEND register will be closely monitored by the SENCO and parents will be kept informed regularly. Any out of class interventions will be closely monitored by the SENCO – all other interventions will be monitored by the class teacher and the SENCO will be kept informed of progress.  In order to make consistent continuous progress in relation to SEND provision the school encourages the views of staff, parents and pupils throughout the year.  </w:t>
      </w:r>
    </w:p>
    <w:p w14:paraId="738610EB" w14:textId="77777777" w:rsidR="006F21AD" w:rsidRPr="00BF5C0F" w:rsidRDefault="006F21AD">
      <w:pPr>
        <w:spacing w:after="0" w:line="240" w:lineRule="auto"/>
        <w:jc w:val="both"/>
        <w:rPr>
          <w:rFonts w:asciiTheme="minorHAnsi" w:eastAsia="Arial Unicode MS" w:hAnsiTheme="minorHAnsi" w:cstheme="minorHAnsi"/>
        </w:rPr>
      </w:pPr>
    </w:p>
    <w:p w14:paraId="77385983" w14:textId="4217C7B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Students and parents are encouraged to be involved with every aspect of the support process and their views and considerations will be taken into account.  In line wit</w:t>
      </w:r>
      <w:r w:rsidR="00BE7A62" w:rsidRPr="00BF5C0F">
        <w:rPr>
          <w:rFonts w:asciiTheme="minorHAnsi" w:eastAsia="Arial Unicode MS" w:hAnsiTheme="minorHAnsi" w:cstheme="minorHAnsi"/>
        </w:rPr>
        <w:t>h the SEN Code of Practice (2015</w:t>
      </w:r>
      <w:r w:rsidRPr="00BF5C0F">
        <w:rPr>
          <w:rFonts w:asciiTheme="minorHAnsi" w:eastAsia="Arial Unicode MS" w:hAnsiTheme="minorHAnsi" w:cstheme="minorHAnsi"/>
        </w:rPr>
        <w:t>) parents will have the opportunity to meet with teachers and/or the SENCO at least termly.  Additional contact can be arranged where necessary.</w:t>
      </w:r>
    </w:p>
    <w:p w14:paraId="115C909A"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0" w:name="_Toc482362338"/>
      <w:r w:rsidRPr="00BF5C0F">
        <w:rPr>
          <w:rFonts w:asciiTheme="minorHAnsi" w:eastAsia="Arial Unicode MS" w:hAnsiTheme="minorHAnsi" w:cstheme="minorHAnsi"/>
          <w:color w:val="auto"/>
          <w:sz w:val="22"/>
          <w:szCs w:val="22"/>
        </w:rPr>
        <w:t>Section 10 - Referral for an Education, Health and Care Plan (EHCP)</w:t>
      </w:r>
      <w:bookmarkEnd w:id="10"/>
    </w:p>
    <w:p w14:paraId="5B2CD8D9" w14:textId="2A33C30D"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If a child has lifelong or significant difficulties, they may undergo a Statutory Assessment Process which can be initiated by the school or parents.  This will occur where the complexity of need is such that a multi-agency approach to assessing and planning for the child is required.</w:t>
      </w:r>
    </w:p>
    <w:p w14:paraId="637805D2" w14:textId="77777777" w:rsidR="006F21AD" w:rsidRPr="00BF5C0F" w:rsidRDefault="006F21AD">
      <w:pPr>
        <w:spacing w:after="0" w:line="240" w:lineRule="auto"/>
        <w:jc w:val="both"/>
        <w:rPr>
          <w:rFonts w:asciiTheme="minorHAnsi" w:eastAsia="Arial Unicode MS" w:hAnsiTheme="minorHAnsi" w:cstheme="minorHAnsi"/>
        </w:rPr>
      </w:pPr>
    </w:p>
    <w:p w14:paraId="606FEAAB"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application for an Education, Health and Care Plan will combine information from a variety of sources:  parents, teachers, SENCO, social care and health professionals. If a student is eligible for an EHCP, clear outcomes will be outlined in the plan and effective provision to meet these will be put in place.  The outcomes will be reviewed at least annually.</w:t>
      </w:r>
    </w:p>
    <w:p w14:paraId="7304ADF4"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1" w:name="_Toc482362339"/>
      <w:r w:rsidRPr="00BF5C0F">
        <w:rPr>
          <w:rFonts w:asciiTheme="minorHAnsi" w:eastAsia="Arial Unicode MS" w:hAnsiTheme="minorHAnsi" w:cstheme="minorHAnsi"/>
          <w:color w:val="auto"/>
          <w:sz w:val="22"/>
          <w:szCs w:val="22"/>
        </w:rPr>
        <w:t>Section 11 - Exams Access Arrangements (EAA)</w:t>
      </w:r>
      <w:bookmarkEnd w:id="11"/>
    </w:p>
    <w:p w14:paraId="1D081D82" w14:textId="005D123E" w:rsidR="006F21AD" w:rsidRPr="00BF5C0F" w:rsidRDefault="00A66A8D">
      <w:pPr>
        <w:autoSpaceDE w:val="0"/>
        <w:autoSpaceDN w:val="0"/>
        <w:adjustRightInd w:val="0"/>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If we suspect that a pupil has a </w:t>
      </w:r>
      <w:r w:rsidR="006102F2" w:rsidRPr="00BF5C0F">
        <w:rPr>
          <w:rFonts w:asciiTheme="minorHAnsi" w:eastAsia="Arial Unicode MS" w:hAnsiTheme="minorHAnsi" w:cstheme="minorHAnsi"/>
        </w:rPr>
        <w:t>need, which</w:t>
      </w:r>
      <w:r w:rsidRPr="00BF5C0F">
        <w:rPr>
          <w:rFonts w:asciiTheme="minorHAnsi" w:eastAsia="Arial Unicode MS" w:hAnsiTheme="minorHAnsi" w:cstheme="minorHAnsi"/>
        </w:rPr>
        <w:t xml:space="preserve"> is impacting on their ability to complete exams at the same speed as their peers or in line with predictions and expectations, we will refer to a specialist assessor in order to see if they qualify for EAA. The SENCO has a responsibility to ensure that all Joint Council of Qualifications (JCQ) regulations are met in full. This means that those that are entitled to support in examinations must receive it in all assessments. It must be their ‘normal way of working’. It is also the SENCO’s responsibility to ensure that teaching staff are evidencing this need in regular assessments. Teaching staff have received training on how to evidence this work. The SENCO will work with Heads of Faculty to monitor and facilitate this.  All documentation will be stored securely.</w:t>
      </w:r>
    </w:p>
    <w:p w14:paraId="549B6F7D"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2" w:name="_Toc482362340"/>
      <w:r w:rsidRPr="00BF5C0F">
        <w:rPr>
          <w:rFonts w:asciiTheme="minorHAnsi" w:eastAsia="Arial Unicode MS" w:hAnsiTheme="minorHAnsi" w:cstheme="minorHAnsi"/>
          <w:color w:val="auto"/>
          <w:sz w:val="22"/>
          <w:szCs w:val="22"/>
        </w:rPr>
        <w:t>Section 12 - Working in partnership with parents</w:t>
      </w:r>
      <w:bookmarkEnd w:id="12"/>
    </w:p>
    <w:p w14:paraId="463F29E8" w14:textId="77777777" w:rsidR="006F21AD" w:rsidRPr="00BF5C0F" w:rsidRDefault="006F21AD">
      <w:pPr>
        <w:spacing w:after="0" w:line="240" w:lineRule="auto"/>
        <w:jc w:val="both"/>
        <w:rPr>
          <w:rFonts w:asciiTheme="minorHAnsi" w:eastAsia="Arial Unicode MS" w:hAnsiTheme="minorHAnsi" w:cstheme="minorHAnsi"/>
          <w:b/>
          <w:u w:val="single"/>
        </w:rPr>
      </w:pPr>
    </w:p>
    <w:p w14:paraId="055178E2" w14:textId="10F49042" w:rsidR="006F21AD" w:rsidRPr="00BF5C0F" w:rsidRDefault="00FE75C2">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Bolsover School </w:t>
      </w:r>
      <w:r w:rsidR="00A66A8D" w:rsidRPr="00BF5C0F">
        <w:rPr>
          <w:rFonts w:asciiTheme="minorHAnsi" w:eastAsia="Arial Unicode MS" w:hAnsiTheme="minorHAnsi" w:cstheme="minorHAnsi"/>
        </w:rPr>
        <w:t>believes that a close working relationship with parents is vital in order to ensure:</w:t>
      </w:r>
    </w:p>
    <w:p w14:paraId="7ED1A12C" w14:textId="362394EF" w:rsidR="006F21AD" w:rsidRPr="00BF5C0F" w:rsidRDefault="4204AA23" w:rsidP="4204AA23">
      <w:pPr>
        <w:pStyle w:val="ListParagraph"/>
        <w:numPr>
          <w:ilvl w:val="0"/>
          <w:numId w:val="4"/>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Early and accurate identification of SEND – leading to the correct intervention and provision.  </w:t>
      </w:r>
    </w:p>
    <w:p w14:paraId="1553BA83" w14:textId="5AB09DC6" w:rsidR="006F21AD" w:rsidRPr="00BF5C0F" w:rsidRDefault="4204AA23" w:rsidP="4204AA23">
      <w:pPr>
        <w:pStyle w:val="ListParagraph"/>
        <w:numPr>
          <w:ilvl w:val="0"/>
          <w:numId w:val="4"/>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Continuing social and academic progress of children with SEND.</w:t>
      </w:r>
    </w:p>
    <w:p w14:paraId="0BEBA801" w14:textId="77777777" w:rsidR="006F21AD" w:rsidRPr="00BF5C0F" w:rsidRDefault="00A66A8D">
      <w:pPr>
        <w:pStyle w:val="ListParagraph"/>
        <w:numPr>
          <w:ilvl w:val="0"/>
          <w:numId w:val="4"/>
        </w:num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Personal and academic targets are set and met effectively.</w:t>
      </w:r>
    </w:p>
    <w:p w14:paraId="3B7B4B86" w14:textId="77777777" w:rsidR="006F21AD" w:rsidRPr="00BF5C0F" w:rsidRDefault="006F21AD">
      <w:pPr>
        <w:spacing w:after="0" w:line="240" w:lineRule="auto"/>
        <w:jc w:val="both"/>
        <w:rPr>
          <w:rFonts w:asciiTheme="minorHAnsi" w:eastAsia="Arial Unicode MS" w:hAnsiTheme="minorHAnsi" w:cstheme="minorHAnsi"/>
        </w:rPr>
      </w:pPr>
    </w:p>
    <w:p w14:paraId="5DB4F389"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3" w:name="_Toc482362341"/>
      <w:r w:rsidRPr="00BF5C0F">
        <w:rPr>
          <w:rFonts w:asciiTheme="minorHAnsi" w:eastAsia="Arial Unicode MS" w:hAnsiTheme="minorHAnsi" w:cstheme="minorHAnsi"/>
          <w:color w:val="auto"/>
          <w:sz w:val="22"/>
          <w:szCs w:val="22"/>
        </w:rPr>
        <w:t>Section 13 - Admission arrangements</w:t>
      </w:r>
      <w:bookmarkEnd w:id="13"/>
    </w:p>
    <w:p w14:paraId="7E4B72A6" w14:textId="16E02EE9" w:rsidR="006F21AD" w:rsidRPr="00BF5C0F" w:rsidRDefault="4204AA23" w:rsidP="4204AA23">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The admission arrangements for all pupils are in accordance with national legislation including the Equality Act 2010.  This includes children with any level of SEND, those with Education, Health and Care Plans and those without.</w:t>
      </w:r>
    </w:p>
    <w:p w14:paraId="3A0FF5F2" w14:textId="77777777" w:rsidR="006F21AD" w:rsidRPr="00BF5C0F" w:rsidRDefault="006F21AD">
      <w:pPr>
        <w:pStyle w:val="ListParagraph"/>
        <w:spacing w:after="0" w:line="240" w:lineRule="auto"/>
        <w:jc w:val="both"/>
        <w:rPr>
          <w:rFonts w:asciiTheme="minorHAnsi" w:eastAsia="Arial Unicode MS" w:hAnsiTheme="minorHAnsi" w:cstheme="minorHAnsi"/>
          <w:b/>
          <w:u w:val="single"/>
        </w:rPr>
      </w:pPr>
    </w:p>
    <w:p w14:paraId="5772FEE9"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Pupils with SEND will be given extra transition visits prior to joining and parents are welcome to visit and discuss any individual needs and concerns in detail. All information from primary school will be passed to the school’s SENCO in good time so that arrangements are put in place – this information will be shared with teaching staff at the beginning of the school year.</w:t>
      </w:r>
    </w:p>
    <w:p w14:paraId="781ECD0C"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4" w:name="_Toc482362342"/>
      <w:r w:rsidRPr="00BF5C0F">
        <w:rPr>
          <w:rFonts w:asciiTheme="minorHAnsi" w:eastAsia="Arial Unicode MS" w:hAnsiTheme="minorHAnsi" w:cstheme="minorHAnsi"/>
          <w:color w:val="auto"/>
          <w:sz w:val="22"/>
          <w:szCs w:val="22"/>
        </w:rPr>
        <w:t>Section 14 - Transition</w:t>
      </w:r>
      <w:bookmarkEnd w:id="14"/>
    </w:p>
    <w:p w14:paraId="1C74B5AF" w14:textId="3D582D66"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All stude</w:t>
      </w:r>
      <w:r w:rsidR="00357344" w:rsidRPr="00BF5C0F">
        <w:rPr>
          <w:rFonts w:asciiTheme="minorHAnsi" w:eastAsia="Arial Unicode MS" w:hAnsiTheme="minorHAnsi" w:cstheme="minorHAnsi"/>
        </w:rPr>
        <w:t xml:space="preserve">nts transferring to </w:t>
      </w:r>
      <w:r w:rsidR="00FE75C2" w:rsidRPr="00BF5C0F">
        <w:rPr>
          <w:rFonts w:asciiTheme="minorHAnsi" w:eastAsia="Arial Unicode MS" w:hAnsiTheme="minorHAnsi" w:cstheme="minorHAnsi"/>
        </w:rPr>
        <w:t xml:space="preserve">Bolsover School </w:t>
      </w:r>
      <w:r w:rsidRPr="00BF5C0F">
        <w:rPr>
          <w:rFonts w:asciiTheme="minorHAnsi" w:eastAsia="Arial Unicode MS" w:hAnsiTheme="minorHAnsi" w:cstheme="minorHAnsi"/>
        </w:rPr>
        <w:t>transition process.  Students who are identified by their primary schools as having special educational needs will be invited to an additional visit by the SENCO.  This visit will be in a much smaller group with a member of the Learning Support Team.  Students with complex needs may be offered a bespoke transition package.  Where a bespoke transition is required, the SENCO will work closely with parents and the primary school to ensure that the student’s needs are met.</w:t>
      </w:r>
    </w:p>
    <w:p w14:paraId="118D8896"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5" w:name="_Toc482362343"/>
      <w:r w:rsidRPr="00BF5C0F">
        <w:rPr>
          <w:rFonts w:asciiTheme="minorHAnsi" w:eastAsia="Arial Unicode MS" w:hAnsiTheme="minorHAnsi" w:cstheme="minorHAnsi"/>
          <w:color w:val="auto"/>
          <w:sz w:val="22"/>
          <w:szCs w:val="22"/>
        </w:rPr>
        <w:t>Section 15 - Training</w:t>
      </w:r>
      <w:bookmarkEnd w:id="15"/>
    </w:p>
    <w:p w14:paraId="2769CD70" w14:textId="2ACC394A"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We aim to keep all teaching and </w:t>
      </w:r>
      <w:r w:rsidR="00D22EC8" w:rsidRPr="00BF5C0F">
        <w:rPr>
          <w:rFonts w:asciiTheme="minorHAnsi" w:eastAsia="Arial Unicode MS" w:hAnsiTheme="minorHAnsi" w:cstheme="minorHAnsi"/>
        </w:rPr>
        <w:t xml:space="preserve">operational </w:t>
      </w:r>
      <w:r w:rsidRPr="00BF5C0F">
        <w:rPr>
          <w:rFonts w:asciiTheme="minorHAnsi" w:eastAsia="Arial Unicode MS" w:hAnsiTheme="minorHAnsi" w:cstheme="minorHAnsi"/>
        </w:rPr>
        <w:t>support staff up to date with relevant training and developments in relation to the needs of students with SEND.  To meet the needs of</w:t>
      </w:r>
      <w:r w:rsidR="00357344" w:rsidRPr="00BF5C0F">
        <w:rPr>
          <w:rFonts w:asciiTheme="minorHAnsi" w:eastAsia="Arial Unicode MS" w:hAnsiTheme="minorHAnsi" w:cstheme="minorHAnsi"/>
        </w:rPr>
        <w:t xml:space="preserve"> staff, we have a SEND information </w:t>
      </w:r>
      <w:r w:rsidRPr="00BF5C0F">
        <w:rPr>
          <w:rFonts w:asciiTheme="minorHAnsi" w:eastAsia="Arial Unicode MS" w:hAnsiTheme="minorHAnsi" w:cstheme="minorHAnsi"/>
        </w:rPr>
        <w:t>whic</w:t>
      </w:r>
      <w:r w:rsidR="00357344" w:rsidRPr="00BF5C0F">
        <w:rPr>
          <w:rFonts w:asciiTheme="minorHAnsi" w:eastAsia="Arial Unicode MS" w:hAnsiTheme="minorHAnsi" w:cstheme="minorHAnsi"/>
        </w:rPr>
        <w:t xml:space="preserve">h is updated annually, </w:t>
      </w:r>
      <w:r w:rsidRPr="00BF5C0F">
        <w:rPr>
          <w:rFonts w:asciiTheme="minorHAnsi" w:eastAsia="Arial Unicode MS" w:hAnsiTheme="minorHAnsi" w:cstheme="minorHAnsi"/>
        </w:rPr>
        <w:t>training session</w:t>
      </w:r>
      <w:r w:rsidR="00357344" w:rsidRPr="00BF5C0F">
        <w:rPr>
          <w:rFonts w:asciiTheme="minorHAnsi" w:eastAsia="Arial Unicode MS" w:hAnsiTheme="minorHAnsi" w:cstheme="minorHAnsi"/>
        </w:rPr>
        <w:t>s</w:t>
      </w:r>
      <w:r w:rsidRPr="00BF5C0F">
        <w:rPr>
          <w:rFonts w:asciiTheme="minorHAnsi" w:eastAsia="Arial Unicode MS" w:hAnsiTheme="minorHAnsi" w:cstheme="minorHAnsi"/>
        </w:rPr>
        <w:t xml:space="preserve"> focused on meeting the needs of students with SEND and further training sessions as required.  All teachers are required to outline how they will meet the needs of each student with SEND in their classes and this will be overseen by the SENCO.  </w:t>
      </w:r>
    </w:p>
    <w:p w14:paraId="0A1A1303"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6" w:name="_Toc482362344"/>
      <w:r w:rsidRPr="00BF5C0F">
        <w:rPr>
          <w:rFonts w:asciiTheme="minorHAnsi" w:eastAsia="Arial Unicode MS" w:hAnsiTheme="minorHAnsi" w:cstheme="minorHAnsi"/>
          <w:color w:val="auto"/>
          <w:sz w:val="22"/>
          <w:szCs w:val="22"/>
        </w:rPr>
        <w:t>Section 16 - Links to support services/other agencies</w:t>
      </w:r>
      <w:bookmarkEnd w:id="16"/>
      <w:r w:rsidRPr="00BF5C0F">
        <w:rPr>
          <w:rFonts w:asciiTheme="minorHAnsi" w:eastAsia="Arial Unicode MS" w:hAnsiTheme="minorHAnsi" w:cstheme="minorHAnsi"/>
          <w:color w:val="auto"/>
          <w:sz w:val="22"/>
          <w:szCs w:val="22"/>
        </w:rPr>
        <w:t xml:space="preserve"> </w:t>
      </w:r>
    </w:p>
    <w:p w14:paraId="0168FDBB" w14:textId="77777777" w:rsidR="006F21AD" w:rsidRPr="00BF5C0F" w:rsidRDefault="00A66A8D">
      <w:pPr>
        <w:pStyle w:val="Default"/>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The Academy invites and seeks advice and support from external agencies in the identification and assessment of, and provision for SEN. The SENCO is the designated person responsible for liaising with the following: </w:t>
      </w:r>
    </w:p>
    <w:p w14:paraId="0B42F943" w14:textId="526A2735" w:rsidR="006F21AD" w:rsidRPr="00BF5C0F" w:rsidRDefault="00FE75C2">
      <w:pPr>
        <w:pStyle w:val="Default"/>
        <w:numPr>
          <w:ilvl w:val="0"/>
          <w:numId w:val="5"/>
        </w:numPr>
        <w:spacing w:after="35"/>
        <w:jc w:val="both"/>
        <w:rPr>
          <w:rFonts w:asciiTheme="minorHAnsi" w:eastAsia="Arial Unicode MS" w:hAnsiTheme="minorHAnsi" w:cstheme="minorHAnsi"/>
          <w:i/>
          <w:color w:val="auto"/>
          <w:sz w:val="22"/>
          <w:szCs w:val="22"/>
        </w:rPr>
      </w:pPr>
      <w:r w:rsidRPr="00BF5C0F">
        <w:rPr>
          <w:rFonts w:asciiTheme="minorHAnsi" w:eastAsia="Arial Unicode MS" w:hAnsiTheme="minorHAnsi" w:cstheme="minorHAnsi"/>
          <w:i/>
          <w:color w:val="auto"/>
          <w:sz w:val="22"/>
          <w:szCs w:val="22"/>
        </w:rPr>
        <w:t>Derbyshire</w:t>
      </w:r>
      <w:r w:rsidR="00A66A8D" w:rsidRPr="00BF5C0F">
        <w:rPr>
          <w:rFonts w:asciiTheme="minorHAnsi" w:eastAsia="Arial Unicode MS" w:hAnsiTheme="minorHAnsi" w:cstheme="minorHAnsi"/>
          <w:i/>
          <w:color w:val="auto"/>
          <w:sz w:val="22"/>
          <w:szCs w:val="22"/>
        </w:rPr>
        <w:t xml:space="preserve"> Education Psychology Servic</w:t>
      </w:r>
      <w:r w:rsidRPr="00BF5C0F">
        <w:rPr>
          <w:rFonts w:asciiTheme="minorHAnsi" w:eastAsia="Arial Unicode MS" w:hAnsiTheme="minorHAnsi" w:cstheme="minorHAnsi"/>
          <w:i/>
          <w:color w:val="auto"/>
          <w:sz w:val="22"/>
          <w:szCs w:val="22"/>
        </w:rPr>
        <w:t xml:space="preserve">e </w:t>
      </w:r>
    </w:p>
    <w:p w14:paraId="57988B68" w14:textId="77777777" w:rsidR="006F21AD" w:rsidRPr="00BF5C0F" w:rsidRDefault="00A66A8D">
      <w:pPr>
        <w:pStyle w:val="Default"/>
        <w:numPr>
          <w:ilvl w:val="0"/>
          <w:numId w:val="5"/>
        </w:numPr>
        <w:spacing w:after="35"/>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Behaviour Support Service </w:t>
      </w:r>
    </w:p>
    <w:p w14:paraId="7F80F861" w14:textId="77777777" w:rsidR="006F21AD" w:rsidRPr="00BF5C0F" w:rsidRDefault="00A66A8D">
      <w:pPr>
        <w:pStyle w:val="Default"/>
        <w:numPr>
          <w:ilvl w:val="0"/>
          <w:numId w:val="5"/>
        </w:numPr>
        <w:spacing w:after="35"/>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Social Services </w:t>
      </w:r>
    </w:p>
    <w:p w14:paraId="08920E2B" w14:textId="77777777" w:rsidR="006F21AD" w:rsidRPr="00BF5C0F" w:rsidRDefault="00A66A8D">
      <w:pPr>
        <w:pStyle w:val="Default"/>
        <w:numPr>
          <w:ilvl w:val="0"/>
          <w:numId w:val="5"/>
        </w:numPr>
        <w:spacing w:after="35"/>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Speech and Language Service </w:t>
      </w:r>
    </w:p>
    <w:p w14:paraId="2336DD6F" w14:textId="77777777" w:rsidR="006F21AD" w:rsidRPr="00BF5C0F" w:rsidRDefault="00A66A8D">
      <w:pPr>
        <w:pStyle w:val="Default"/>
        <w:numPr>
          <w:ilvl w:val="0"/>
          <w:numId w:val="5"/>
        </w:numPr>
        <w:spacing w:after="35"/>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Language and Learning Support Service </w:t>
      </w:r>
    </w:p>
    <w:p w14:paraId="76A6E9A9" w14:textId="77777777" w:rsidR="006F21AD" w:rsidRPr="00BF5C0F" w:rsidRDefault="00A66A8D">
      <w:pPr>
        <w:pStyle w:val="Default"/>
        <w:numPr>
          <w:ilvl w:val="0"/>
          <w:numId w:val="5"/>
        </w:numPr>
        <w:jc w:val="both"/>
        <w:rPr>
          <w:rFonts w:asciiTheme="minorHAnsi" w:eastAsia="Arial Unicode MS" w:hAnsiTheme="minorHAnsi" w:cstheme="minorHAnsi"/>
          <w:color w:val="auto"/>
          <w:sz w:val="22"/>
          <w:szCs w:val="22"/>
        </w:rPr>
      </w:pPr>
      <w:r w:rsidRPr="00BF5C0F">
        <w:rPr>
          <w:rFonts w:asciiTheme="minorHAnsi" w:eastAsia="Arial Unicode MS" w:hAnsiTheme="minorHAnsi" w:cstheme="minorHAnsi"/>
          <w:color w:val="auto"/>
          <w:sz w:val="22"/>
          <w:szCs w:val="22"/>
        </w:rPr>
        <w:t xml:space="preserve">Specialist Outreach Services </w:t>
      </w:r>
    </w:p>
    <w:p w14:paraId="575FCD95"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7" w:name="_Toc482362345"/>
      <w:r w:rsidRPr="00BF5C0F">
        <w:rPr>
          <w:rFonts w:asciiTheme="minorHAnsi" w:eastAsia="Arial Unicode MS" w:hAnsiTheme="minorHAnsi" w:cstheme="minorHAnsi"/>
          <w:color w:val="auto"/>
          <w:sz w:val="22"/>
          <w:szCs w:val="22"/>
        </w:rPr>
        <w:t>Section 17 - Links with other schools</w:t>
      </w:r>
      <w:bookmarkEnd w:id="17"/>
      <w:r w:rsidRPr="00BF5C0F">
        <w:rPr>
          <w:rFonts w:asciiTheme="minorHAnsi" w:eastAsia="Arial Unicode MS" w:hAnsiTheme="minorHAnsi" w:cstheme="minorHAnsi"/>
          <w:color w:val="auto"/>
          <w:sz w:val="22"/>
          <w:szCs w:val="22"/>
        </w:rPr>
        <w:t xml:space="preserve"> </w:t>
      </w:r>
    </w:p>
    <w:p w14:paraId="0537A165" w14:textId="08C6A407" w:rsidR="00BF5C0F" w:rsidRDefault="00FE75C2">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 xml:space="preserve">Bolsover School </w:t>
      </w:r>
      <w:r w:rsidR="00A66A8D" w:rsidRPr="00BF5C0F">
        <w:rPr>
          <w:rFonts w:asciiTheme="minorHAnsi" w:eastAsia="Arial Unicode MS" w:hAnsiTheme="minorHAnsi" w:cstheme="minorHAnsi"/>
        </w:rPr>
        <w:t xml:space="preserve">is a member of The Redhill </w:t>
      </w:r>
      <w:r w:rsidR="00D22EC8" w:rsidRPr="00BF5C0F">
        <w:rPr>
          <w:rFonts w:asciiTheme="minorHAnsi" w:eastAsia="Arial Unicode MS" w:hAnsiTheme="minorHAnsi" w:cstheme="minorHAnsi"/>
        </w:rPr>
        <w:t xml:space="preserve">Academy </w:t>
      </w:r>
      <w:r w:rsidR="00A66A8D" w:rsidRPr="00BF5C0F">
        <w:rPr>
          <w:rFonts w:asciiTheme="minorHAnsi" w:eastAsia="Arial Unicode MS" w:hAnsiTheme="minorHAnsi" w:cstheme="minorHAnsi"/>
        </w:rPr>
        <w:t>Trust and Redhill Teaching School Alliance. This enables the schools to build a bank of joint resources and to share advice, training and expertise.</w:t>
      </w:r>
    </w:p>
    <w:p w14:paraId="4AAB66B3" w14:textId="77777777" w:rsidR="00BF5C0F" w:rsidRPr="00BF5C0F" w:rsidRDefault="00BF5C0F" w:rsidP="00BF5C0F">
      <w:pPr>
        <w:rPr>
          <w:rFonts w:asciiTheme="minorHAnsi" w:eastAsia="Arial Unicode MS" w:hAnsiTheme="minorHAnsi" w:cstheme="minorHAnsi"/>
        </w:rPr>
      </w:pPr>
    </w:p>
    <w:p w14:paraId="478F4B2D" w14:textId="7D722FDE" w:rsidR="006F21AD" w:rsidRPr="00BF5C0F" w:rsidRDefault="00BF5C0F" w:rsidP="00BF5C0F">
      <w:pPr>
        <w:tabs>
          <w:tab w:val="left" w:pos="2700"/>
        </w:tabs>
        <w:rPr>
          <w:rFonts w:asciiTheme="minorHAnsi" w:eastAsia="Arial Unicode MS" w:hAnsiTheme="minorHAnsi" w:cstheme="minorHAnsi"/>
        </w:rPr>
      </w:pPr>
      <w:r>
        <w:rPr>
          <w:rFonts w:asciiTheme="minorHAnsi" w:eastAsia="Arial Unicode MS" w:hAnsiTheme="minorHAnsi" w:cstheme="minorHAnsi"/>
        </w:rPr>
        <w:tab/>
      </w:r>
    </w:p>
    <w:p w14:paraId="12BBC785" w14:textId="77777777" w:rsidR="006F21AD" w:rsidRPr="00BF5C0F" w:rsidRDefault="00A66A8D">
      <w:pPr>
        <w:pStyle w:val="Heading1"/>
        <w:jc w:val="both"/>
        <w:rPr>
          <w:rFonts w:asciiTheme="minorHAnsi" w:eastAsia="Arial Unicode MS" w:hAnsiTheme="minorHAnsi" w:cstheme="minorHAnsi"/>
          <w:color w:val="auto"/>
          <w:sz w:val="22"/>
          <w:szCs w:val="22"/>
        </w:rPr>
      </w:pPr>
      <w:bookmarkStart w:id="18" w:name="_Toc482362346"/>
      <w:r w:rsidRPr="00BF5C0F">
        <w:rPr>
          <w:rFonts w:asciiTheme="minorHAnsi" w:eastAsia="Arial Unicode MS" w:hAnsiTheme="minorHAnsi" w:cstheme="minorHAnsi"/>
          <w:color w:val="auto"/>
          <w:sz w:val="22"/>
          <w:szCs w:val="22"/>
        </w:rPr>
        <w:t>Section 18 - Complaints procedure</w:t>
      </w:r>
      <w:bookmarkEnd w:id="18"/>
    </w:p>
    <w:p w14:paraId="652AB7AF" w14:textId="77777777" w:rsidR="006F21AD" w:rsidRPr="00BF5C0F" w:rsidRDefault="00A66A8D">
      <w:pPr>
        <w:spacing w:after="0" w:line="240" w:lineRule="auto"/>
        <w:jc w:val="both"/>
        <w:rPr>
          <w:rFonts w:asciiTheme="minorHAnsi" w:eastAsia="Arial Unicode MS" w:hAnsiTheme="minorHAnsi" w:cstheme="minorHAnsi"/>
        </w:rPr>
      </w:pPr>
      <w:r w:rsidRPr="00BF5C0F">
        <w:rPr>
          <w:rFonts w:asciiTheme="minorHAnsi" w:eastAsia="Arial Unicode MS" w:hAnsiTheme="minorHAnsi" w:cstheme="minorHAnsi"/>
        </w:rPr>
        <w:t>If a parent has any concerns or complaints regarding the care or welfare of their child, an appointment can be made to meet with the school’s SENCO.</w:t>
      </w:r>
    </w:p>
    <w:p w14:paraId="5630AD66" w14:textId="77777777" w:rsidR="006F21AD" w:rsidRPr="00BF5C0F" w:rsidRDefault="006F21AD">
      <w:pPr>
        <w:spacing w:after="0" w:line="240" w:lineRule="auto"/>
        <w:jc w:val="both"/>
        <w:rPr>
          <w:rFonts w:asciiTheme="minorHAnsi" w:eastAsia="Arial Unicode MS" w:hAnsiTheme="minorHAnsi" w:cstheme="minorHAnsi"/>
        </w:rPr>
      </w:pPr>
    </w:p>
    <w:p w14:paraId="61829076" w14:textId="77777777" w:rsidR="006F21AD" w:rsidRPr="00BA0473" w:rsidRDefault="006F21AD">
      <w:pPr>
        <w:spacing w:after="0" w:line="240" w:lineRule="auto"/>
        <w:rPr>
          <w:rFonts w:ascii="Century Gothic" w:hAnsi="Century Gothic"/>
          <w:b/>
          <w:sz w:val="24"/>
          <w:szCs w:val="24"/>
        </w:rPr>
      </w:pPr>
    </w:p>
    <w:sectPr w:rsidR="006F21AD" w:rsidRPr="00BA0473" w:rsidSect="00BF5C0F">
      <w:headerReference w:type="default" r:id="rId8"/>
      <w:footerReference w:type="default" r:id="rId9"/>
      <w:headerReference w:type="first" r:id="rId10"/>
      <w:footerReference w:type="first" r:id="rId11"/>
      <w:pgSz w:w="11906" w:h="16838"/>
      <w:pgMar w:top="1134" w:right="1440" w:bottom="851" w:left="1440"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7A7B" w14:textId="77777777" w:rsidR="00C5705E" w:rsidRDefault="00C5705E">
      <w:pPr>
        <w:spacing w:after="0" w:line="240" w:lineRule="auto"/>
      </w:pPr>
      <w:r>
        <w:separator/>
      </w:r>
    </w:p>
  </w:endnote>
  <w:endnote w:type="continuationSeparator" w:id="0">
    <w:p w14:paraId="394BB60A" w14:textId="77777777" w:rsidR="00C5705E" w:rsidRDefault="00C5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Identity-H">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81586"/>
      <w:docPartObj>
        <w:docPartGallery w:val="Page Numbers (Bottom of Page)"/>
        <w:docPartUnique/>
      </w:docPartObj>
    </w:sdtPr>
    <w:sdtEndPr>
      <w:rPr>
        <w:noProof/>
      </w:rPr>
    </w:sdtEndPr>
    <w:sdtContent>
      <w:p w14:paraId="35F92BC9" w14:textId="37A67B0E" w:rsidR="006F21AD" w:rsidRDefault="006F21AD" w:rsidP="00BF5C0F">
        <w:pPr>
          <w:pStyle w:val="Footer"/>
        </w:pPr>
      </w:p>
      <w:p w14:paraId="15EC428A" w14:textId="02E1C3EC" w:rsidR="006F21AD" w:rsidRDefault="00A66A8D">
        <w:pPr>
          <w:pStyle w:val="Footer"/>
          <w:jc w:val="center"/>
        </w:pPr>
        <w:r>
          <w:fldChar w:fldCharType="begin"/>
        </w:r>
        <w:r>
          <w:instrText xml:space="preserve"> PAGE   \* MERGEFORMAT </w:instrText>
        </w:r>
        <w:r>
          <w:fldChar w:fldCharType="separate"/>
        </w:r>
        <w:r w:rsidR="00600D41">
          <w:rPr>
            <w:noProof/>
          </w:rPr>
          <w:t>2</w:t>
        </w:r>
        <w:r>
          <w:rPr>
            <w:noProof/>
          </w:rPr>
          <w:fldChar w:fldCharType="end"/>
        </w:r>
      </w:p>
    </w:sdtContent>
  </w:sdt>
  <w:p w14:paraId="2DBF0D7D" w14:textId="77777777" w:rsidR="006F21AD" w:rsidRDefault="006F21AD">
    <w:pPr>
      <w:pStyle w:val="Footer"/>
      <w:ind w:left="-426"/>
      <w:rPr>
        <w:rFonts w:ascii="Cambria" w:hAnsi="Cambria"/>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60A0" w14:textId="0584FE3B" w:rsidR="00BF5C0F" w:rsidRDefault="00BF5C0F" w:rsidP="00BF5C0F">
    <w:pPr>
      <w:pStyle w:val="Footer"/>
    </w:pPr>
    <w:r>
      <w:rPr>
        <w:rFonts w:cstheme="minorHAnsi"/>
        <w:noProof/>
        <w:color w:val="002060"/>
        <w:lang w:eastAsia="en-GB"/>
      </w:rPr>
      <w:drawing>
        <wp:anchor distT="0" distB="0" distL="114300" distR="114300" simplePos="0" relativeHeight="251661312" behindDoc="1" locked="0" layoutInCell="1" allowOverlap="1" wp14:anchorId="15FBA94A" wp14:editId="195F97CD">
          <wp:simplePos x="0" y="0"/>
          <wp:positionH relativeFrom="margin">
            <wp:posOffset>3802380</wp:posOffset>
          </wp:positionH>
          <wp:positionV relativeFrom="paragraph">
            <wp:posOffset>84455</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t>Policy: Special Education Needs Policy</w:t>
    </w:r>
  </w:p>
  <w:p w14:paraId="0A42794D" w14:textId="3FC957B7" w:rsidR="00BF5C0F" w:rsidRDefault="00BF5C0F" w:rsidP="00BF5C0F">
    <w:pPr>
      <w:pStyle w:val="Footer"/>
    </w:pPr>
    <w:r>
      <w:t>Version: 0.5</w:t>
    </w:r>
  </w:p>
  <w:p w14:paraId="333438AA" w14:textId="77777777" w:rsidR="00BF5C0F" w:rsidRDefault="00BF5C0F" w:rsidP="00BF5C0F">
    <w:pPr>
      <w:pStyle w:val="Footer"/>
    </w:pPr>
    <w:r>
      <w:t>Date: March 2020</w:t>
    </w:r>
  </w:p>
  <w:p w14:paraId="4E45BADD" w14:textId="1B28C11C" w:rsidR="00BF5C0F" w:rsidRDefault="00BF5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A418" w14:textId="77777777" w:rsidR="00C5705E" w:rsidRDefault="00C5705E">
      <w:pPr>
        <w:spacing w:after="0" w:line="240" w:lineRule="auto"/>
      </w:pPr>
      <w:r>
        <w:separator/>
      </w:r>
    </w:p>
  </w:footnote>
  <w:footnote w:type="continuationSeparator" w:id="0">
    <w:p w14:paraId="7881529B" w14:textId="77777777" w:rsidR="00C5705E" w:rsidRDefault="00C5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204AA23" w14:paraId="5DA01386" w14:textId="77777777" w:rsidTr="4204AA23">
      <w:tc>
        <w:tcPr>
          <w:tcW w:w="3009" w:type="dxa"/>
        </w:tcPr>
        <w:p w14:paraId="20EBAB1D" w14:textId="01313E97" w:rsidR="4204AA23" w:rsidRDefault="4204AA23" w:rsidP="4204AA23">
          <w:pPr>
            <w:pStyle w:val="Header"/>
            <w:ind w:left="-115"/>
          </w:pPr>
        </w:p>
      </w:tc>
      <w:tc>
        <w:tcPr>
          <w:tcW w:w="3009" w:type="dxa"/>
        </w:tcPr>
        <w:p w14:paraId="6648F70B" w14:textId="12A8C8C9" w:rsidR="4204AA23" w:rsidRDefault="4204AA23" w:rsidP="4204AA23">
          <w:pPr>
            <w:pStyle w:val="Header"/>
            <w:jc w:val="center"/>
          </w:pPr>
        </w:p>
      </w:tc>
      <w:tc>
        <w:tcPr>
          <w:tcW w:w="3009" w:type="dxa"/>
        </w:tcPr>
        <w:p w14:paraId="37EB5020" w14:textId="08B1E0DB" w:rsidR="4204AA23" w:rsidRDefault="4204AA23" w:rsidP="4204AA23">
          <w:pPr>
            <w:pStyle w:val="Header"/>
            <w:ind w:right="-115"/>
            <w:jc w:val="right"/>
          </w:pPr>
        </w:p>
      </w:tc>
    </w:tr>
  </w:tbl>
  <w:p w14:paraId="25ECD87E" w14:textId="68B75079" w:rsidR="4204AA23" w:rsidRDefault="4204AA23" w:rsidP="4204AA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DAB0" w14:textId="14C62755" w:rsidR="00600D41" w:rsidRDefault="00600D41">
    <w:pPr>
      <w:pStyle w:val="Header"/>
    </w:pPr>
    <w:r>
      <w:rPr>
        <w:rFonts w:cstheme="minorHAnsi"/>
        <w:noProof/>
        <w:color w:val="002060"/>
        <w:lang w:eastAsia="en-GB"/>
      </w:rPr>
      <w:drawing>
        <wp:inline distT="0" distB="0" distL="0" distR="0" wp14:anchorId="10DF9477" wp14:editId="1D793AEB">
          <wp:extent cx="5731510" cy="10179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7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D0C"/>
    <w:multiLevelType w:val="hybridMultilevel"/>
    <w:tmpl w:val="1C54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0072F"/>
    <w:multiLevelType w:val="hybridMultilevel"/>
    <w:tmpl w:val="824AE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0197F"/>
    <w:multiLevelType w:val="hybridMultilevel"/>
    <w:tmpl w:val="FC6436A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25B80"/>
    <w:multiLevelType w:val="hybridMultilevel"/>
    <w:tmpl w:val="9A08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46BE5"/>
    <w:multiLevelType w:val="hybridMultilevel"/>
    <w:tmpl w:val="7B1A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4028"/>
    <w:multiLevelType w:val="hybridMultilevel"/>
    <w:tmpl w:val="F8F0A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15214"/>
    <w:multiLevelType w:val="hybridMultilevel"/>
    <w:tmpl w:val="089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o:colormru v:ext="edit" colors="#ecf1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AD"/>
    <w:rsid w:val="00107106"/>
    <w:rsid w:val="001B1777"/>
    <w:rsid w:val="002F17A0"/>
    <w:rsid w:val="003132C2"/>
    <w:rsid w:val="00331E17"/>
    <w:rsid w:val="00357344"/>
    <w:rsid w:val="005031E9"/>
    <w:rsid w:val="00600D41"/>
    <w:rsid w:val="006102F2"/>
    <w:rsid w:val="006F21AD"/>
    <w:rsid w:val="00735E62"/>
    <w:rsid w:val="0085269C"/>
    <w:rsid w:val="00A66A8D"/>
    <w:rsid w:val="00BA0473"/>
    <w:rsid w:val="00BE7A62"/>
    <w:rsid w:val="00BF5C0F"/>
    <w:rsid w:val="00C5705E"/>
    <w:rsid w:val="00CE4ED7"/>
    <w:rsid w:val="00D22EC8"/>
    <w:rsid w:val="00DC6219"/>
    <w:rsid w:val="00DD6BC1"/>
    <w:rsid w:val="00ED2B72"/>
    <w:rsid w:val="00ED3E66"/>
    <w:rsid w:val="00FE75C2"/>
    <w:rsid w:val="4204A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ecf1f8"/>
    </o:shapedefaults>
    <o:shapelayout v:ext="edit">
      <o:idmap v:ext="edit" data="1"/>
    </o:shapelayout>
  </w:shapeDefaults>
  <w:decimalSymbol w:val="."/>
  <w:listSeparator w:val=","/>
  <w14:docId w14:val="498529F3"/>
  <w15:docId w15:val="{C63581F2-ED24-4006-8AE6-7CA3838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overflowPunct w:val="0"/>
      <w:autoSpaceDE w:val="0"/>
      <w:autoSpaceDN w:val="0"/>
      <w:adjustRightInd w:val="0"/>
      <w:spacing w:after="0" w:line="240" w:lineRule="auto"/>
      <w:textAlignment w:val="baseline"/>
      <w:outlineLvl w:val="1"/>
    </w:pPr>
    <w:rPr>
      <w:rFonts w:ascii="Arial" w:eastAsia="Times New Roman" w:hAnsi="Arial"/>
      <w:b/>
      <w:sz w:val="28"/>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link w:val="Heading2"/>
    <w:rPr>
      <w:rFonts w:ascii="Arial" w:eastAsia="Times New Roman" w:hAnsi="Arial" w:cs="Times New Roman"/>
      <w:b/>
      <w:sz w:val="28"/>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pPr>
      <w:spacing w:before="100" w:beforeAutospacing="1" w:after="100" w:afterAutospacing="1" w:line="240" w:lineRule="auto"/>
    </w:pPr>
    <w:rPr>
      <w:rFonts w:ascii="Times New Roman" w:eastAsia="Times New Roman" w:hAnsi="Times New Roman"/>
      <w:sz w:val="24"/>
      <w:szCs w:val="24"/>
      <w:lang w:val="x-none" w:eastAsia="en-GB"/>
    </w:rPr>
  </w:style>
  <w:style w:type="character" w:customStyle="1" w:styleId="BodyText2Char">
    <w:name w:val="Body Text 2 Char"/>
    <w:link w:val="BodyText2"/>
    <w:uiPriority w:val="99"/>
    <w:semiHidden/>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Pr>
      <w:color w:val="0000FF"/>
      <w:u w:val="single"/>
    </w:rPr>
  </w:style>
  <w:style w:type="character" w:customStyle="1" w:styleId="apple-tab-span">
    <w:name w:val="apple-tab-span"/>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character" w:styleId="Emphasis">
    <w:name w:val="Emphasis"/>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pPr>
      <w:autoSpaceDE w:val="0"/>
      <w:autoSpaceDN w:val="0"/>
      <w:adjustRightInd w:val="0"/>
    </w:pPr>
    <w:rPr>
      <w:rFonts w:ascii="Century Gothic" w:eastAsiaTheme="minorHAnsi" w:hAnsi="Century Gothic" w:cs="Century Gothic"/>
      <w:color w:val="000000"/>
      <w:sz w:val="24"/>
      <w:szCs w:val="24"/>
      <w:lang w:eastAsia="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1">
    <w:name w:val="toc 1"/>
    <w:basedOn w:val="Normal"/>
    <w:next w:val="Normal"/>
    <w:autoRedefine/>
    <w:uiPriority w:val="39"/>
    <w:unhideWhenUsed/>
    <w:pPr>
      <w:spacing w:after="10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7309">
      <w:bodyDiv w:val="1"/>
      <w:marLeft w:val="0"/>
      <w:marRight w:val="0"/>
      <w:marTop w:val="0"/>
      <w:marBottom w:val="0"/>
      <w:divBdr>
        <w:top w:val="none" w:sz="0" w:space="0" w:color="auto"/>
        <w:left w:val="none" w:sz="0" w:space="0" w:color="auto"/>
        <w:bottom w:val="none" w:sz="0" w:space="0" w:color="auto"/>
        <w:right w:val="none" w:sz="0" w:space="0" w:color="auto"/>
      </w:divBdr>
    </w:div>
    <w:div w:id="891040390">
      <w:bodyDiv w:val="1"/>
      <w:marLeft w:val="0"/>
      <w:marRight w:val="0"/>
      <w:marTop w:val="0"/>
      <w:marBottom w:val="0"/>
      <w:divBdr>
        <w:top w:val="none" w:sz="0" w:space="0" w:color="auto"/>
        <w:left w:val="none" w:sz="0" w:space="0" w:color="auto"/>
        <w:bottom w:val="none" w:sz="0" w:space="0" w:color="auto"/>
        <w:right w:val="none" w:sz="0" w:space="0" w:color="auto"/>
      </w:divBdr>
    </w:div>
    <w:div w:id="1511799974">
      <w:bodyDiv w:val="1"/>
      <w:marLeft w:val="0"/>
      <w:marRight w:val="0"/>
      <w:marTop w:val="0"/>
      <w:marBottom w:val="0"/>
      <w:divBdr>
        <w:top w:val="none" w:sz="0" w:space="0" w:color="auto"/>
        <w:left w:val="none" w:sz="0" w:space="0" w:color="auto"/>
        <w:bottom w:val="none" w:sz="0" w:space="0" w:color="auto"/>
        <w:right w:val="none" w:sz="0" w:space="0" w:color="auto"/>
      </w:divBdr>
    </w:div>
    <w:div w:id="1632131689">
      <w:bodyDiv w:val="1"/>
      <w:marLeft w:val="0"/>
      <w:marRight w:val="0"/>
      <w:marTop w:val="0"/>
      <w:marBottom w:val="0"/>
      <w:divBdr>
        <w:top w:val="none" w:sz="0" w:space="0" w:color="auto"/>
        <w:left w:val="none" w:sz="0" w:space="0" w:color="auto"/>
        <w:bottom w:val="none" w:sz="0" w:space="0" w:color="auto"/>
        <w:right w:val="none" w:sz="0" w:space="0" w:color="auto"/>
      </w:divBdr>
    </w:div>
    <w:div w:id="1763184330">
      <w:bodyDiv w:val="1"/>
      <w:marLeft w:val="0"/>
      <w:marRight w:val="0"/>
      <w:marTop w:val="0"/>
      <w:marBottom w:val="0"/>
      <w:divBdr>
        <w:top w:val="none" w:sz="0" w:space="0" w:color="auto"/>
        <w:left w:val="none" w:sz="0" w:space="0" w:color="auto"/>
        <w:bottom w:val="none" w:sz="0" w:space="0" w:color="auto"/>
        <w:right w:val="none" w:sz="0" w:space="0" w:color="auto"/>
      </w:divBdr>
    </w:div>
    <w:div w:id="1845631753">
      <w:bodyDiv w:val="1"/>
      <w:marLeft w:val="0"/>
      <w:marRight w:val="0"/>
      <w:marTop w:val="0"/>
      <w:marBottom w:val="0"/>
      <w:divBdr>
        <w:top w:val="none" w:sz="0" w:space="0" w:color="auto"/>
        <w:left w:val="none" w:sz="0" w:space="0" w:color="auto"/>
        <w:bottom w:val="none" w:sz="0" w:space="0" w:color="auto"/>
        <w:right w:val="none" w:sz="0" w:space="0" w:color="auto"/>
      </w:divBdr>
    </w:div>
    <w:div w:id="20719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03DB7-3C6A-4C5A-A79A-69BDDB22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Whittaker, D Mrs</cp:lastModifiedBy>
  <cp:revision>3</cp:revision>
  <cp:lastPrinted>2019-12-10T14:35:00Z</cp:lastPrinted>
  <dcterms:created xsi:type="dcterms:W3CDTF">2020-03-09T13:11:00Z</dcterms:created>
  <dcterms:modified xsi:type="dcterms:W3CDTF">2020-03-09T20:28:00Z</dcterms:modified>
</cp:coreProperties>
</file>