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C5" w:rsidRPr="004B71C5" w:rsidRDefault="004B71C5" w:rsidP="004B71C5">
      <w:pPr>
        <w:pStyle w:val="BodyText"/>
        <w:ind w:left="553"/>
        <w:rPr>
          <w:rFonts w:asciiTheme="minorHAnsi" w:hAnsiTheme="minorHAnsi" w:cstheme="minorHAnsi"/>
        </w:rPr>
      </w:pPr>
    </w:p>
    <w:p w:rsidR="009C7B2A" w:rsidRDefault="009C7B2A" w:rsidP="009C7B2A">
      <w:pPr>
        <w:pStyle w:val="Footer"/>
        <w:jc w:val="center"/>
        <w:rPr>
          <w:rFonts w:cstheme="minorHAnsi"/>
          <w:b/>
          <w:color w:val="002060"/>
          <w:sz w:val="96"/>
          <w:szCs w:val="96"/>
        </w:rPr>
      </w:pPr>
    </w:p>
    <w:p w:rsidR="009C7B2A" w:rsidRDefault="009C7B2A" w:rsidP="009C7B2A">
      <w:pPr>
        <w:pStyle w:val="Footer"/>
        <w:jc w:val="center"/>
        <w:rPr>
          <w:rFonts w:cstheme="minorHAnsi"/>
          <w:b/>
          <w:color w:val="002060"/>
          <w:sz w:val="96"/>
          <w:szCs w:val="96"/>
        </w:rPr>
      </w:pPr>
      <w:r>
        <w:rPr>
          <w:rFonts w:cstheme="minorHAnsi"/>
          <w:b/>
          <w:color w:val="002060"/>
          <w:sz w:val="96"/>
          <w:szCs w:val="96"/>
        </w:rPr>
        <w:t xml:space="preserve">RELATIONSHIPS </w:t>
      </w:r>
    </w:p>
    <w:p w:rsidR="009C7B2A" w:rsidRDefault="009C7B2A" w:rsidP="009C7B2A">
      <w:pPr>
        <w:pStyle w:val="Footer"/>
        <w:jc w:val="center"/>
        <w:rPr>
          <w:rFonts w:cstheme="minorHAnsi"/>
          <w:b/>
          <w:color w:val="002060"/>
          <w:sz w:val="96"/>
          <w:szCs w:val="96"/>
        </w:rPr>
      </w:pPr>
      <w:r>
        <w:rPr>
          <w:rFonts w:cstheme="minorHAnsi"/>
          <w:b/>
          <w:color w:val="002060"/>
          <w:sz w:val="96"/>
          <w:szCs w:val="96"/>
        </w:rPr>
        <w:t xml:space="preserve">&amp; </w:t>
      </w:r>
    </w:p>
    <w:p w:rsidR="009C7B2A" w:rsidRPr="000662EB" w:rsidRDefault="009C7B2A" w:rsidP="009C7B2A">
      <w:pPr>
        <w:pStyle w:val="Footer"/>
        <w:jc w:val="center"/>
        <w:rPr>
          <w:rFonts w:cstheme="minorHAnsi"/>
          <w:b/>
          <w:color w:val="002060"/>
          <w:sz w:val="96"/>
          <w:szCs w:val="96"/>
        </w:rPr>
      </w:pPr>
      <w:r>
        <w:rPr>
          <w:rFonts w:cstheme="minorHAnsi"/>
          <w:b/>
          <w:color w:val="002060"/>
          <w:sz w:val="96"/>
          <w:szCs w:val="96"/>
        </w:rPr>
        <w:t>SEX EDUCATION POLICY</w:t>
      </w: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tbl>
      <w:tblPr>
        <w:tblStyle w:val="TableGrid"/>
        <w:tblW w:w="0" w:type="auto"/>
        <w:tblLook w:val="04A0" w:firstRow="1" w:lastRow="0" w:firstColumn="1" w:lastColumn="0" w:noHBand="0" w:noVBand="1"/>
      </w:tblPr>
      <w:tblGrid>
        <w:gridCol w:w="4456"/>
        <w:gridCol w:w="5684"/>
      </w:tblGrid>
      <w:tr w:rsidR="009C7B2A" w:rsidTr="00620045">
        <w:tc>
          <w:tcPr>
            <w:tcW w:w="5106" w:type="dxa"/>
            <w:tcBorders>
              <w:top w:val="single" w:sz="4" w:space="0" w:color="auto"/>
              <w:left w:val="single" w:sz="4" w:space="0" w:color="auto"/>
              <w:bottom w:val="single" w:sz="4" w:space="0" w:color="auto"/>
              <w:right w:val="single" w:sz="4" w:space="0" w:color="auto"/>
            </w:tcBorders>
            <w:hideMark/>
          </w:tcPr>
          <w:p w:rsidR="009C7B2A" w:rsidRDefault="009C7B2A" w:rsidP="00620045">
            <w:pPr>
              <w:rPr>
                <w:rFonts w:cstheme="minorHAnsi"/>
                <w:color w:val="002060"/>
                <w:sz w:val="48"/>
              </w:rPr>
            </w:pPr>
            <w:r>
              <w:rPr>
                <w:rFonts w:cstheme="minorHAnsi"/>
                <w:color w:val="002060"/>
                <w:sz w:val="48"/>
              </w:rPr>
              <w:t>Approving Body:</w:t>
            </w:r>
          </w:p>
        </w:tc>
        <w:tc>
          <w:tcPr>
            <w:tcW w:w="5090" w:type="dxa"/>
            <w:tcBorders>
              <w:top w:val="single" w:sz="4" w:space="0" w:color="auto"/>
              <w:left w:val="single" w:sz="4" w:space="0" w:color="auto"/>
              <w:bottom w:val="single" w:sz="4" w:space="0" w:color="auto"/>
              <w:right w:val="single" w:sz="4" w:space="0" w:color="auto"/>
            </w:tcBorders>
            <w:hideMark/>
          </w:tcPr>
          <w:p w:rsidR="009C7B2A" w:rsidRDefault="009C7B2A" w:rsidP="00620045">
            <w:pPr>
              <w:rPr>
                <w:rFonts w:cstheme="minorHAnsi"/>
                <w:color w:val="002060"/>
                <w:sz w:val="48"/>
              </w:rPr>
            </w:pPr>
            <w:r>
              <w:rPr>
                <w:rFonts w:cstheme="minorHAnsi"/>
                <w:color w:val="002060"/>
                <w:sz w:val="48"/>
              </w:rPr>
              <w:t>Local Academy Board</w:t>
            </w:r>
          </w:p>
        </w:tc>
      </w:tr>
      <w:tr w:rsidR="009C7B2A" w:rsidTr="00620045">
        <w:tc>
          <w:tcPr>
            <w:tcW w:w="5106" w:type="dxa"/>
            <w:tcBorders>
              <w:top w:val="single" w:sz="4" w:space="0" w:color="auto"/>
              <w:left w:val="single" w:sz="4" w:space="0" w:color="auto"/>
              <w:bottom w:val="single" w:sz="4" w:space="0" w:color="auto"/>
              <w:right w:val="single" w:sz="4" w:space="0" w:color="auto"/>
            </w:tcBorders>
            <w:hideMark/>
          </w:tcPr>
          <w:p w:rsidR="009C7B2A" w:rsidRDefault="009C7B2A" w:rsidP="00620045">
            <w:pPr>
              <w:rPr>
                <w:rFonts w:cstheme="minorHAnsi"/>
                <w:color w:val="002060"/>
                <w:sz w:val="48"/>
              </w:rPr>
            </w:pPr>
            <w:r>
              <w:rPr>
                <w:rFonts w:cstheme="minorHAnsi"/>
                <w:color w:val="002060"/>
                <w:sz w:val="48"/>
              </w:rPr>
              <w:t>Date Approved:</w:t>
            </w:r>
          </w:p>
        </w:tc>
        <w:tc>
          <w:tcPr>
            <w:tcW w:w="5090" w:type="dxa"/>
            <w:tcBorders>
              <w:top w:val="single" w:sz="4" w:space="0" w:color="auto"/>
              <w:left w:val="single" w:sz="4" w:space="0" w:color="auto"/>
              <w:bottom w:val="single" w:sz="4" w:space="0" w:color="auto"/>
              <w:right w:val="single" w:sz="4" w:space="0" w:color="auto"/>
            </w:tcBorders>
            <w:hideMark/>
          </w:tcPr>
          <w:p w:rsidR="009C7B2A" w:rsidRDefault="009C7B2A" w:rsidP="00620045">
            <w:pPr>
              <w:rPr>
                <w:rFonts w:cstheme="minorHAnsi"/>
                <w:color w:val="002060"/>
                <w:sz w:val="48"/>
              </w:rPr>
            </w:pPr>
            <w:r>
              <w:rPr>
                <w:rFonts w:cstheme="minorHAnsi"/>
                <w:color w:val="002060"/>
                <w:sz w:val="48"/>
              </w:rPr>
              <w:t>March</w:t>
            </w:r>
            <w:r>
              <w:rPr>
                <w:rFonts w:cstheme="minorHAnsi"/>
                <w:color w:val="002060"/>
                <w:sz w:val="48"/>
              </w:rPr>
              <w:t xml:space="preserve"> 2020</w:t>
            </w:r>
          </w:p>
        </w:tc>
      </w:tr>
      <w:tr w:rsidR="009C7B2A" w:rsidTr="00620045">
        <w:tc>
          <w:tcPr>
            <w:tcW w:w="5106" w:type="dxa"/>
            <w:tcBorders>
              <w:top w:val="single" w:sz="4" w:space="0" w:color="auto"/>
              <w:left w:val="single" w:sz="4" w:space="0" w:color="auto"/>
              <w:bottom w:val="single" w:sz="4" w:space="0" w:color="auto"/>
              <w:right w:val="single" w:sz="4" w:space="0" w:color="auto"/>
            </w:tcBorders>
            <w:hideMark/>
          </w:tcPr>
          <w:p w:rsidR="009C7B2A" w:rsidRDefault="009C7B2A" w:rsidP="00620045">
            <w:pPr>
              <w:rPr>
                <w:rFonts w:cstheme="minorHAnsi"/>
                <w:color w:val="002060"/>
                <w:sz w:val="48"/>
              </w:rPr>
            </w:pPr>
            <w:r>
              <w:rPr>
                <w:rFonts w:cstheme="minorHAnsi"/>
                <w:color w:val="002060"/>
                <w:sz w:val="48"/>
              </w:rPr>
              <w:t>Review Date:</w:t>
            </w:r>
          </w:p>
        </w:tc>
        <w:tc>
          <w:tcPr>
            <w:tcW w:w="5090" w:type="dxa"/>
            <w:tcBorders>
              <w:top w:val="single" w:sz="4" w:space="0" w:color="auto"/>
              <w:left w:val="single" w:sz="4" w:space="0" w:color="auto"/>
              <w:bottom w:val="single" w:sz="4" w:space="0" w:color="auto"/>
              <w:right w:val="single" w:sz="4" w:space="0" w:color="auto"/>
            </w:tcBorders>
            <w:hideMark/>
          </w:tcPr>
          <w:p w:rsidR="009C7B2A" w:rsidRDefault="009C7B2A" w:rsidP="00620045">
            <w:pPr>
              <w:rPr>
                <w:rFonts w:cstheme="minorHAnsi"/>
                <w:color w:val="002060"/>
                <w:sz w:val="48"/>
              </w:rPr>
            </w:pPr>
            <w:r>
              <w:rPr>
                <w:rFonts w:cstheme="minorHAnsi"/>
                <w:color w:val="002060"/>
                <w:sz w:val="48"/>
              </w:rPr>
              <w:t>March 2023</w:t>
            </w:r>
          </w:p>
        </w:tc>
      </w:tr>
      <w:tr w:rsidR="009C7B2A" w:rsidTr="00620045">
        <w:tc>
          <w:tcPr>
            <w:tcW w:w="5106" w:type="dxa"/>
            <w:tcBorders>
              <w:top w:val="single" w:sz="4" w:space="0" w:color="auto"/>
              <w:left w:val="single" w:sz="4" w:space="0" w:color="auto"/>
              <w:bottom w:val="single" w:sz="4" w:space="0" w:color="auto"/>
              <w:right w:val="single" w:sz="4" w:space="0" w:color="auto"/>
            </w:tcBorders>
          </w:tcPr>
          <w:p w:rsidR="009C7B2A" w:rsidRDefault="009C7B2A" w:rsidP="00620045">
            <w:pPr>
              <w:rPr>
                <w:rFonts w:cstheme="minorHAnsi"/>
                <w:color w:val="002060"/>
                <w:sz w:val="48"/>
              </w:rPr>
            </w:pPr>
            <w:r>
              <w:rPr>
                <w:rFonts w:cstheme="minorHAnsi"/>
                <w:color w:val="002060"/>
                <w:sz w:val="48"/>
              </w:rPr>
              <w:t>Further information:</w:t>
            </w:r>
          </w:p>
        </w:tc>
        <w:tc>
          <w:tcPr>
            <w:tcW w:w="5090" w:type="dxa"/>
            <w:tcBorders>
              <w:top w:val="single" w:sz="4" w:space="0" w:color="auto"/>
              <w:left w:val="single" w:sz="4" w:space="0" w:color="auto"/>
              <w:bottom w:val="single" w:sz="4" w:space="0" w:color="auto"/>
              <w:right w:val="single" w:sz="4" w:space="0" w:color="auto"/>
            </w:tcBorders>
          </w:tcPr>
          <w:p w:rsidR="009C7B2A" w:rsidRDefault="009C7B2A" w:rsidP="00620045">
            <w:pPr>
              <w:rPr>
                <w:rFonts w:cstheme="minorHAnsi"/>
                <w:color w:val="002060"/>
                <w:sz w:val="48"/>
              </w:rPr>
            </w:pPr>
            <w:r w:rsidRPr="004B71C5">
              <w:rPr>
                <w:rFonts w:asciiTheme="minorHAnsi" w:hAnsiTheme="minorHAnsi" w:cstheme="minorHAnsi"/>
              </w:rPr>
              <w:t xml:space="preserve">Relationships Education, Relationships and Sex Education (RSE) and Health Education’ 2019      </w:t>
            </w:r>
            <w:hyperlink r:id="rId7" w:history="1">
              <w:r w:rsidRPr="004B71C5">
                <w:rPr>
                  <w:rStyle w:val="Hyperlink"/>
                  <w:rFonts w:asciiTheme="minorHAnsi" w:hAnsiTheme="minorHAnsi" w:cstheme="minorHAnsi"/>
                </w:rPr>
                <w:t>https://www.gov.uk/government/publications/relationships-education-relationships-and-sex-education-rse-and-health-education</w:t>
              </w:r>
            </w:hyperlink>
          </w:p>
        </w:tc>
      </w:tr>
    </w:tbl>
    <w:p w:rsidR="009C7B2A" w:rsidRDefault="009C7B2A" w:rsidP="009C7B2A">
      <w:pPr>
        <w:pStyle w:val="Footer"/>
        <w:rPr>
          <w:rFonts w:cstheme="minorHAnsi"/>
          <w:color w:val="002060"/>
        </w:rPr>
      </w:pPr>
    </w:p>
    <w:p w:rsidR="009C7B2A" w:rsidRDefault="009C7B2A" w:rsidP="009C7B2A">
      <w:pPr>
        <w:pStyle w:val="Footer"/>
        <w:rPr>
          <w:rFonts w:cstheme="minorHAnsi"/>
          <w:color w:val="002060"/>
        </w:rPr>
      </w:pPr>
    </w:p>
    <w:p w:rsidR="004B71C5" w:rsidRPr="004B71C5" w:rsidRDefault="004B71C5" w:rsidP="004B71C5">
      <w:pPr>
        <w:rPr>
          <w:rFonts w:asciiTheme="minorHAnsi" w:hAnsiTheme="minorHAnsi" w:cstheme="minorHAnsi"/>
        </w:rPr>
        <w:sectPr w:rsidR="004B71C5" w:rsidRPr="004B71C5" w:rsidSect="009C7B2A">
          <w:footerReference w:type="default" r:id="rId8"/>
          <w:headerReference w:type="first" r:id="rId9"/>
          <w:footerReference w:type="first" r:id="rId10"/>
          <w:pgSz w:w="11910" w:h="16840"/>
          <w:pgMar w:top="1000" w:right="1000" w:bottom="1660" w:left="760" w:header="720" w:footer="1468" w:gutter="0"/>
          <w:cols w:space="720"/>
          <w:titlePg/>
          <w:docGrid w:linePitch="299"/>
        </w:sectPr>
      </w:pPr>
      <w:bookmarkStart w:id="0" w:name="_GoBack"/>
      <w:bookmarkEnd w:id="0"/>
    </w:p>
    <w:p w:rsidR="004B71C5" w:rsidRPr="004B71C5" w:rsidRDefault="004B71C5" w:rsidP="005D03A6">
      <w:pPr>
        <w:pStyle w:val="Heading1"/>
        <w:numPr>
          <w:ilvl w:val="0"/>
          <w:numId w:val="3"/>
        </w:numPr>
        <w:tabs>
          <w:tab w:val="left" w:pos="681"/>
        </w:tabs>
        <w:spacing w:before="84"/>
        <w:rPr>
          <w:rFonts w:asciiTheme="minorHAnsi" w:hAnsiTheme="minorHAnsi" w:cstheme="minorHAnsi"/>
          <w:u w:val="none"/>
        </w:rPr>
      </w:pPr>
      <w:r w:rsidRPr="004B71C5">
        <w:rPr>
          <w:rFonts w:asciiTheme="minorHAnsi" w:hAnsiTheme="minorHAnsi" w:cstheme="minorHAnsi"/>
          <w:u w:val="none"/>
        </w:rPr>
        <w:t>Context</w:t>
      </w:r>
    </w:p>
    <w:p w:rsidR="004B71C5" w:rsidRPr="004B71C5" w:rsidRDefault="004B71C5" w:rsidP="005D03A6">
      <w:pPr>
        <w:pStyle w:val="BodyText"/>
        <w:spacing w:before="221"/>
        <w:ind w:left="680" w:right="107"/>
        <w:rPr>
          <w:rFonts w:asciiTheme="minorHAnsi" w:hAnsiTheme="minorHAnsi" w:cstheme="minorHAnsi"/>
        </w:rPr>
      </w:pPr>
      <w:r w:rsidRPr="004B71C5">
        <w:rPr>
          <w:rFonts w:asciiTheme="minorHAnsi" w:hAnsiTheme="minorHAnsi" w:cstheme="minorHAnsi"/>
        </w:rPr>
        <w:t xml:space="preserve">The provision for SRE education at The Bolsover School is based upon the ‘Relationships Education, Relationships and Sex Education (RSE) and Health Education’ statutory guidance for governing bodies, proprietors, head teachers, principals, senior leadership teams, and teachers published by </w:t>
      </w:r>
      <w:proofErr w:type="spellStart"/>
      <w:r w:rsidRPr="004B71C5">
        <w:rPr>
          <w:rFonts w:asciiTheme="minorHAnsi" w:hAnsiTheme="minorHAnsi" w:cstheme="minorHAnsi"/>
        </w:rPr>
        <w:t>DofE</w:t>
      </w:r>
      <w:proofErr w:type="spellEnd"/>
      <w:r w:rsidRPr="004B71C5">
        <w:rPr>
          <w:rFonts w:asciiTheme="minorHAnsi" w:hAnsiTheme="minorHAnsi" w:cstheme="minorHAnsi"/>
        </w:rPr>
        <w:t xml:space="preserve"> 2019. The statutory guidance sets out the need for all students to have comprehensive discreet RSE lessons targeted for the appropriate age range. All students will have access to support and information that will enable them to prepare for the complexities of adult life.  </w:t>
      </w:r>
    </w:p>
    <w:p w:rsidR="004B71C5" w:rsidRDefault="004B71C5" w:rsidP="005D03A6">
      <w:pPr>
        <w:pStyle w:val="BodyText"/>
        <w:ind w:left="680" w:right="104"/>
        <w:rPr>
          <w:rFonts w:asciiTheme="minorHAnsi" w:hAnsiTheme="minorHAnsi" w:cstheme="minorHAnsi"/>
        </w:rPr>
      </w:pPr>
      <w:r w:rsidRPr="004B71C5">
        <w:rPr>
          <w:rFonts w:asciiTheme="minorHAnsi" w:hAnsiTheme="minorHAnsi" w:cstheme="minorHAnsi"/>
        </w:rPr>
        <w:t xml:space="preserve">This policy will be reviewed in 2021 following the first full year of compulsory RSE. Throughout the year adjustments will be made in line with any guidance from the </w:t>
      </w:r>
      <w:proofErr w:type="spellStart"/>
      <w:r w:rsidRPr="004B71C5">
        <w:rPr>
          <w:rFonts w:asciiTheme="minorHAnsi" w:hAnsiTheme="minorHAnsi" w:cstheme="minorHAnsi"/>
        </w:rPr>
        <w:t>DfE</w:t>
      </w:r>
      <w:proofErr w:type="spellEnd"/>
      <w:r w:rsidRPr="004B71C5">
        <w:rPr>
          <w:rFonts w:asciiTheme="minorHAnsi" w:hAnsiTheme="minorHAnsi" w:cstheme="minorHAnsi"/>
        </w:rPr>
        <w:t>. This will ensure that The Bolsover School will meet the statutory legislation for the teaching of RSE.</w:t>
      </w:r>
    </w:p>
    <w:p w:rsidR="004B71C5" w:rsidRPr="004B71C5" w:rsidRDefault="004B71C5" w:rsidP="005D03A6">
      <w:pPr>
        <w:pStyle w:val="BodyText"/>
        <w:ind w:left="680" w:right="104"/>
        <w:rPr>
          <w:rFonts w:asciiTheme="minorHAnsi" w:hAnsiTheme="minorHAnsi" w:cstheme="minorHAnsi"/>
        </w:rPr>
      </w:pPr>
    </w:p>
    <w:p w:rsidR="004B71C5" w:rsidRPr="004B71C5" w:rsidRDefault="004B71C5" w:rsidP="005D03A6">
      <w:pPr>
        <w:pStyle w:val="Heading1"/>
        <w:numPr>
          <w:ilvl w:val="0"/>
          <w:numId w:val="3"/>
        </w:numPr>
        <w:tabs>
          <w:tab w:val="left" w:pos="681"/>
        </w:tabs>
        <w:rPr>
          <w:rFonts w:asciiTheme="minorHAnsi" w:hAnsiTheme="minorHAnsi" w:cstheme="minorHAnsi"/>
          <w:u w:val="none"/>
        </w:rPr>
      </w:pPr>
      <w:r w:rsidRPr="004B71C5">
        <w:rPr>
          <w:rFonts w:asciiTheme="minorHAnsi" w:hAnsiTheme="minorHAnsi" w:cstheme="minorHAnsi"/>
          <w:u w:val="none"/>
        </w:rPr>
        <w:t>What is Relationships and Sex</w:t>
      </w:r>
      <w:r w:rsidRPr="004B71C5">
        <w:rPr>
          <w:rFonts w:asciiTheme="minorHAnsi" w:hAnsiTheme="minorHAnsi" w:cstheme="minorHAnsi"/>
          <w:spacing w:val="-8"/>
          <w:u w:val="none"/>
        </w:rPr>
        <w:t xml:space="preserve"> </w:t>
      </w:r>
      <w:r w:rsidRPr="004B71C5">
        <w:rPr>
          <w:rFonts w:asciiTheme="minorHAnsi" w:hAnsiTheme="minorHAnsi" w:cstheme="minorHAnsi"/>
          <w:u w:val="none"/>
        </w:rPr>
        <w:t>Education?</w:t>
      </w:r>
    </w:p>
    <w:p w:rsidR="004B71C5" w:rsidRDefault="004B71C5" w:rsidP="005D03A6">
      <w:pPr>
        <w:pStyle w:val="BodyText"/>
        <w:spacing w:before="221"/>
        <w:ind w:left="680" w:right="105"/>
        <w:rPr>
          <w:rStyle w:val="Hyperlink"/>
          <w:rFonts w:asciiTheme="minorHAnsi" w:hAnsiTheme="minorHAnsi" w:cstheme="minorHAnsi"/>
        </w:rPr>
      </w:pPr>
      <w:r w:rsidRPr="004B71C5">
        <w:rPr>
          <w:rFonts w:asciiTheme="minorHAnsi" w:hAnsiTheme="minorHAnsi" w:cstheme="minorHAnsi"/>
        </w:rPr>
        <w:t>Relationships and Sex Education is learning about the emotional, social and physical aspects of growing up, relationships, sex, human sexuality and sexual heal</w:t>
      </w:r>
      <w:r w:rsidR="005D03A6">
        <w:rPr>
          <w:rFonts w:asciiTheme="minorHAnsi" w:hAnsiTheme="minorHAnsi" w:cstheme="minorHAnsi"/>
        </w:rPr>
        <w:t>th. Some aspects are taught in S</w:t>
      </w:r>
      <w:r w:rsidRPr="004B71C5">
        <w:rPr>
          <w:rFonts w:asciiTheme="minorHAnsi" w:hAnsiTheme="minorHAnsi" w:cstheme="minorHAnsi"/>
        </w:rPr>
        <w:t>cience, RE, PE, and o</w:t>
      </w:r>
      <w:r w:rsidR="005D03A6">
        <w:rPr>
          <w:rFonts w:asciiTheme="minorHAnsi" w:hAnsiTheme="minorHAnsi" w:cstheme="minorHAnsi"/>
        </w:rPr>
        <w:t xml:space="preserve">thers are taught as part of </w:t>
      </w:r>
      <w:r w:rsidRPr="004B71C5">
        <w:rPr>
          <w:rFonts w:asciiTheme="minorHAnsi" w:hAnsiTheme="minorHAnsi" w:cstheme="minorHAnsi"/>
        </w:rPr>
        <w:t>Personal Dev</w:t>
      </w:r>
      <w:r w:rsidR="005D03A6">
        <w:rPr>
          <w:rFonts w:asciiTheme="minorHAnsi" w:hAnsiTheme="minorHAnsi" w:cstheme="minorHAnsi"/>
        </w:rPr>
        <w:t>elopment</w:t>
      </w:r>
      <w:r w:rsidRPr="004B71C5">
        <w:rPr>
          <w:rFonts w:asciiTheme="minorHAnsi" w:hAnsiTheme="minorHAnsi" w:cstheme="minorHAnsi"/>
        </w:rPr>
        <w:t xml:space="preserve"> sessions. It gives children and young people essential skills for building positive, enjoyable, respectful and non-exploitative relationships and staying safe both on and offline. It also gives a comprehensive </w:t>
      </w:r>
      <w:proofErr w:type="spellStart"/>
      <w:r w:rsidRPr="004B71C5">
        <w:rPr>
          <w:rFonts w:asciiTheme="minorHAnsi" w:hAnsiTheme="minorHAnsi" w:cstheme="minorHAnsi"/>
        </w:rPr>
        <w:t>programme</w:t>
      </w:r>
      <w:proofErr w:type="spellEnd"/>
      <w:r w:rsidRPr="004B71C5">
        <w:rPr>
          <w:rFonts w:asciiTheme="minorHAnsi" w:hAnsiTheme="minorHAnsi" w:cstheme="minorHAnsi"/>
        </w:rPr>
        <w:t xml:space="preserve"> of RSE and provides accurate information about the complexities of understanding relationships and sexual development as well as aspects of physical and mental wellbeing. A more detailed overview can be found in ‘Relationships Education, Relationships and Sex Education (RSE) and Health Education’ 2019      </w:t>
      </w:r>
      <w:hyperlink r:id="rId11" w:history="1">
        <w:r w:rsidRPr="004B71C5">
          <w:rPr>
            <w:rStyle w:val="Hyperlink"/>
            <w:rFonts w:asciiTheme="minorHAnsi" w:hAnsiTheme="minorHAnsi" w:cstheme="minorHAnsi"/>
          </w:rPr>
          <w:t>https://www.gov.uk/government/publications/relationships-education-relationships-and-sex-education-rse-and-health-education</w:t>
        </w:r>
      </w:hyperlink>
    </w:p>
    <w:p w:rsidR="005D03A6" w:rsidRPr="004B71C5" w:rsidRDefault="005D03A6" w:rsidP="005D03A6">
      <w:pPr>
        <w:pStyle w:val="BodyText"/>
        <w:spacing w:before="221"/>
        <w:ind w:left="680" w:right="105"/>
        <w:rPr>
          <w:rFonts w:asciiTheme="minorHAnsi" w:hAnsiTheme="minorHAnsi" w:cstheme="minorHAnsi"/>
        </w:rPr>
      </w:pPr>
    </w:p>
    <w:p w:rsidR="004B71C5" w:rsidRDefault="004B71C5" w:rsidP="005D03A6">
      <w:pPr>
        <w:pStyle w:val="BodyText"/>
        <w:ind w:left="680" w:right="107"/>
        <w:rPr>
          <w:rFonts w:asciiTheme="minorHAnsi" w:hAnsiTheme="minorHAnsi" w:cstheme="minorHAnsi"/>
        </w:rPr>
      </w:pPr>
      <w:r w:rsidRPr="004B71C5">
        <w:rPr>
          <w:rFonts w:asciiTheme="minorHAnsi" w:hAnsiTheme="minorHAnsi" w:cstheme="minorHAnsi"/>
        </w:rPr>
        <w:t>In</w:t>
      </w:r>
      <w:r w:rsidRPr="004B71C5">
        <w:rPr>
          <w:rFonts w:asciiTheme="minorHAnsi" w:hAnsiTheme="minorHAnsi" w:cstheme="minorHAnsi"/>
          <w:spacing w:val="-4"/>
        </w:rPr>
        <w:t xml:space="preserve"> </w:t>
      </w:r>
      <w:r w:rsidRPr="004B71C5">
        <w:rPr>
          <w:rFonts w:asciiTheme="minorHAnsi" w:hAnsiTheme="minorHAnsi" w:cstheme="minorHAnsi"/>
        </w:rPr>
        <w:t>any</w:t>
      </w:r>
      <w:r w:rsidRPr="004B71C5">
        <w:rPr>
          <w:rFonts w:asciiTheme="minorHAnsi" w:hAnsiTheme="minorHAnsi" w:cstheme="minorHAnsi"/>
          <w:spacing w:val="-4"/>
        </w:rPr>
        <w:t xml:space="preserve"> </w:t>
      </w:r>
      <w:r w:rsidRPr="004B71C5">
        <w:rPr>
          <w:rFonts w:asciiTheme="minorHAnsi" w:hAnsiTheme="minorHAnsi" w:cstheme="minorHAnsi"/>
        </w:rPr>
        <w:t>school</w:t>
      </w:r>
      <w:r w:rsidRPr="004B71C5">
        <w:rPr>
          <w:rFonts w:asciiTheme="minorHAnsi" w:hAnsiTheme="minorHAnsi" w:cstheme="minorHAnsi"/>
          <w:spacing w:val="-2"/>
        </w:rPr>
        <w:t xml:space="preserve"> </w:t>
      </w:r>
      <w:r w:rsidRPr="004B71C5">
        <w:rPr>
          <w:rFonts w:asciiTheme="minorHAnsi" w:hAnsiTheme="minorHAnsi" w:cstheme="minorHAnsi"/>
        </w:rPr>
        <w:t>that</w:t>
      </w:r>
      <w:r w:rsidRPr="004B71C5">
        <w:rPr>
          <w:rFonts w:asciiTheme="minorHAnsi" w:hAnsiTheme="minorHAnsi" w:cstheme="minorHAnsi"/>
          <w:spacing w:val="-4"/>
        </w:rPr>
        <w:t xml:space="preserve"> </w:t>
      </w:r>
      <w:r w:rsidRPr="004B71C5">
        <w:rPr>
          <w:rFonts w:asciiTheme="minorHAnsi" w:hAnsiTheme="minorHAnsi" w:cstheme="minorHAnsi"/>
        </w:rPr>
        <w:t>provides</w:t>
      </w:r>
      <w:r w:rsidRPr="004B71C5">
        <w:rPr>
          <w:rFonts w:asciiTheme="minorHAnsi" w:hAnsiTheme="minorHAnsi" w:cstheme="minorHAnsi"/>
          <w:spacing w:val="-3"/>
        </w:rPr>
        <w:t xml:space="preserve"> </w:t>
      </w:r>
      <w:r w:rsidRPr="004B71C5">
        <w:rPr>
          <w:rFonts w:asciiTheme="minorHAnsi" w:hAnsiTheme="minorHAnsi" w:cstheme="minorHAnsi"/>
        </w:rPr>
        <w:t>RSE,</w:t>
      </w:r>
      <w:r w:rsidRPr="004B71C5">
        <w:rPr>
          <w:rFonts w:asciiTheme="minorHAnsi" w:hAnsiTheme="minorHAnsi" w:cstheme="minorHAnsi"/>
          <w:spacing w:val="-5"/>
        </w:rPr>
        <w:t xml:space="preserve"> </w:t>
      </w:r>
      <w:r w:rsidRPr="004B71C5">
        <w:rPr>
          <w:rFonts w:asciiTheme="minorHAnsi" w:hAnsiTheme="minorHAnsi" w:cstheme="minorHAnsi"/>
        </w:rPr>
        <w:t>parents</w:t>
      </w:r>
      <w:r w:rsidRPr="004B71C5">
        <w:rPr>
          <w:rFonts w:asciiTheme="minorHAnsi" w:hAnsiTheme="minorHAnsi" w:cstheme="minorHAnsi"/>
          <w:spacing w:val="-3"/>
        </w:rPr>
        <w:t xml:space="preserve"> </w:t>
      </w:r>
      <w:r w:rsidRPr="004B71C5">
        <w:rPr>
          <w:rFonts w:asciiTheme="minorHAnsi" w:hAnsiTheme="minorHAnsi" w:cstheme="minorHAnsi"/>
        </w:rPr>
        <w:t>have</w:t>
      </w:r>
      <w:r w:rsidRPr="004B71C5">
        <w:rPr>
          <w:rFonts w:asciiTheme="minorHAnsi" w:hAnsiTheme="minorHAnsi" w:cstheme="minorHAnsi"/>
          <w:spacing w:val="-3"/>
        </w:rPr>
        <w:t xml:space="preserve"> </w:t>
      </w:r>
      <w:r w:rsidRPr="004B71C5">
        <w:rPr>
          <w:rFonts w:asciiTheme="minorHAnsi" w:hAnsiTheme="minorHAnsi" w:cstheme="minorHAnsi"/>
        </w:rPr>
        <w:t>the</w:t>
      </w:r>
      <w:r w:rsidRPr="004B71C5">
        <w:rPr>
          <w:rFonts w:asciiTheme="minorHAnsi" w:hAnsiTheme="minorHAnsi" w:cstheme="minorHAnsi"/>
          <w:spacing w:val="-2"/>
        </w:rPr>
        <w:t xml:space="preserve"> </w:t>
      </w:r>
      <w:r w:rsidRPr="004B71C5">
        <w:rPr>
          <w:rFonts w:asciiTheme="minorHAnsi" w:hAnsiTheme="minorHAnsi" w:cstheme="minorHAnsi"/>
        </w:rPr>
        <w:t>right</w:t>
      </w:r>
      <w:r w:rsidRPr="004B71C5">
        <w:rPr>
          <w:rFonts w:asciiTheme="minorHAnsi" w:hAnsiTheme="minorHAnsi" w:cstheme="minorHAnsi"/>
          <w:spacing w:val="-4"/>
        </w:rPr>
        <w:t xml:space="preserve"> </w:t>
      </w:r>
      <w:r w:rsidRPr="004B71C5">
        <w:rPr>
          <w:rFonts w:asciiTheme="minorHAnsi" w:hAnsiTheme="minorHAnsi" w:cstheme="minorHAnsi"/>
        </w:rPr>
        <w:t>to</w:t>
      </w:r>
      <w:r w:rsidRPr="004B71C5">
        <w:rPr>
          <w:rFonts w:asciiTheme="minorHAnsi" w:hAnsiTheme="minorHAnsi" w:cstheme="minorHAnsi"/>
          <w:spacing w:val="-5"/>
        </w:rPr>
        <w:t xml:space="preserve"> </w:t>
      </w:r>
      <w:r w:rsidRPr="004B71C5">
        <w:rPr>
          <w:rFonts w:asciiTheme="minorHAnsi" w:hAnsiTheme="minorHAnsi" w:cstheme="minorHAnsi"/>
        </w:rPr>
        <w:t>withdraw</w:t>
      </w:r>
      <w:r w:rsidRPr="004B71C5">
        <w:rPr>
          <w:rFonts w:asciiTheme="minorHAnsi" w:hAnsiTheme="minorHAnsi" w:cstheme="minorHAnsi"/>
          <w:spacing w:val="-4"/>
        </w:rPr>
        <w:t xml:space="preserve"> </w:t>
      </w:r>
      <w:r w:rsidRPr="004B71C5">
        <w:rPr>
          <w:rFonts w:asciiTheme="minorHAnsi" w:hAnsiTheme="minorHAnsi" w:cstheme="minorHAnsi"/>
        </w:rPr>
        <w:t>their</w:t>
      </w:r>
      <w:r w:rsidRPr="004B71C5">
        <w:rPr>
          <w:rFonts w:asciiTheme="minorHAnsi" w:hAnsiTheme="minorHAnsi" w:cstheme="minorHAnsi"/>
          <w:spacing w:val="-4"/>
        </w:rPr>
        <w:t xml:space="preserve"> </w:t>
      </w:r>
      <w:r w:rsidRPr="004B71C5">
        <w:rPr>
          <w:rFonts w:asciiTheme="minorHAnsi" w:hAnsiTheme="minorHAnsi" w:cstheme="minorHAnsi"/>
        </w:rPr>
        <w:t>children</w:t>
      </w:r>
      <w:r w:rsidRPr="004B71C5">
        <w:rPr>
          <w:rFonts w:asciiTheme="minorHAnsi" w:hAnsiTheme="minorHAnsi" w:cstheme="minorHAnsi"/>
          <w:spacing w:val="-4"/>
        </w:rPr>
        <w:t xml:space="preserve"> </w:t>
      </w:r>
      <w:r w:rsidRPr="004B71C5">
        <w:rPr>
          <w:rFonts w:asciiTheme="minorHAnsi" w:hAnsiTheme="minorHAnsi" w:cstheme="minorHAnsi"/>
        </w:rPr>
        <w:t>from</w:t>
      </w:r>
      <w:r w:rsidRPr="004B71C5">
        <w:rPr>
          <w:rFonts w:asciiTheme="minorHAnsi" w:hAnsiTheme="minorHAnsi" w:cstheme="minorHAnsi"/>
          <w:spacing w:val="-5"/>
        </w:rPr>
        <w:t xml:space="preserve"> </w:t>
      </w:r>
      <w:r w:rsidRPr="004B71C5">
        <w:rPr>
          <w:rFonts w:asciiTheme="minorHAnsi" w:hAnsiTheme="minorHAnsi" w:cstheme="minorHAnsi"/>
        </w:rPr>
        <w:t>some or all of Sex Education delivered as statutory RSE.</w:t>
      </w:r>
      <w:r w:rsidR="005D03A6">
        <w:rPr>
          <w:rFonts w:asciiTheme="minorHAnsi" w:hAnsiTheme="minorHAnsi" w:cstheme="minorHAnsi"/>
        </w:rPr>
        <w:t xml:space="preserve"> This up to and until three </w:t>
      </w:r>
      <w:r w:rsidR="005D03A6" w:rsidRPr="005D03A6">
        <w:rPr>
          <w:rFonts w:asciiTheme="minorHAnsi" w:hAnsiTheme="minorHAnsi" w:cstheme="minorHAnsi"/>
        </w:rPr>
        <w:t xml:space="preserve">terms before the child turns 16. After that point, if </w:t>
      </w:r>
      <w:r w:rsidR="005D03A6">
        <w:rPr>
          <w:rFonts w:asciiTheme="minorHAnsi" w:hAnsiTheme="minorHAnsi" w:cstheme="minorHAnsi"/>
        </w:rPr>
        <w:t xml:space="preserve">the child wishes to receive sex </w:t>
      </w:r>
      <w:r w:rsidR="005D03A6" w:rsidRPr="005D03A6">
        <w:rPr>
          <w:rFonts w:asciiTheme="minorHAnsi" w:hAnsiTheme="minorHAnsi" w:cstheme="minorHAnsi"/>
        </w:rPr>
        <w:t>education rather than</w:t>
      </w:r>
      <w:r w:rsidR="005D03A6">
        <w:rPr>
          <w:rFonts w:asciiTheme="minorHAnsi" w:hAnsiTheme="minorHAnsi" w:cstheme="minorHAnsi"/>
        </w:rPr>
        <w:t xml:space="preserve"> be withdrawn, the school will</w:t>
      </w:r>
      <w:r w:rsidR="005D03A6" w:rsidRPr="005D03A6">
        <w:rPr>
          <w:rFonts w:asciiTheme="minorHAnsi" w:hAnsiTheme="minorHAnsi" w:cstheme="minorHAnsi"/>
        </w:rPr>
        <w:t xml:space="preserve"> m</w:t>
      </w:r>
      <w:r w:rsidR="005D03A6">
        <w:rPr>
          <w:rFonts w:asciiTheme="minorHAnsi" w:hAnsiTheme="minorHAnsi" w:cstheme="minorHAnsi"/>
        </w:rPr>
        <w:t xml:space="preserve">ake arrangements to provide the </w:t>
      </w:r>
      <w:r w:rsidR="005D03A6" w:rsidRPr="005D03A6">
        <w:rPr>
          <w:rFonts w:asciiTheme="minorHAnsi" w:hAnsiTheme="minorHAnsi" w:cstheme="minorHAnsi"/>
        </w:rPr>
        <w:t>child with sex education during one of those terms.</w:t>
      </w:r>
    </w:p>
    <w:p w:rsidR="005D03A6" w:rsidRPr="004B71C5" w:rsidRDefault="005D03A6" w:rsidP="005D03A6">
      <w:pPr>
        <w:pStyle w:val="BodyText"/>
        <w:ind w:left="680" w:right="107"/>
        <w:rPr>
          <w:rFonts w:asciiTheme="minorHAnsi" w:hAnsiTheme="minorHAnsi" w:cstheme="minorHAnsi"/>
        </w:rPr>
      </w:pPr>
    </w:p>
    <w:p w:rsidR="004B71C5" w:rsidRPr="004B71C5" w:rsidRDefault="005D03A6" w:rsidP="004B71C5">
      <w:pPr>
        <w:pStyle w:val="Heading1"/>
        <w:numPr>
          <w:ilvl w:val="0"/>
          <w:numId w:val="3"/>
        </w:numPr>
        <w:tabs>
          <w:tab w:val="left" w:pos="681"/>
        </w:tabs>
        <w:spacing w:before="1"/>
        <w:rPr>
          <w:rFonts w:asciiTheme="minorHAnsi" w:hAnsiTheme="minorHAnsi" w:cstheme="minorHAnsi"/>
          <w:u w:val="none"/>
        </w:rPr>
      </w:pPr>
      <w:r>
        <w:rPr>
          <w:rFonts w:asciiTheme="minorHAnsi" w:hAnsiTheme="minorHAnsi" w:cstheme="minorHAnsi"/>
          <w:u w:val="none"/>
        </w:rPr>
        <w:t>W</w:t>
      </w:r>
      <w:r w:rsidR="004B71C5" w:rsidRPr="004B71C5">
        <w:rPr>
          <w:rFonts w:asciiTheme="minorHAnsi" w:hAnsiTheme="minorHAnsi" w:cstheme="minorHAnsi"/>
          <w:u w:val="none"/>
        </w:rPr>
        <w:t>hy is Relationships and Sex Education in schools</w:t>
      </w:r>
      <w:r w:rsidR="004B71C5" w:rsidRPr="004B71C5">
        <w:rPr>
          <w:rFonts w:asciiTheme="minorHAnsi" w:hAnsiTheme="minorHAnsi" w:cstheme="minorHAnsi"/>
          <w:spacing w:val="-9"/>
          <w:u w:val="none"/>
        </w:rPr>
        <w:t xml:space="preserve"> </w:t>
      </w:r>
      <w:r w:rsidR="004B71C5" w:rsidRPr="004B71C5">
        <w:rPr>
          <w:rFonts w:asciiTheme="minorHAnsi" w:hAnsiTheme="minorHAnsi" w:cstheme="minorHAnsi"/>
          <w:u w:val="none"/>
        </w:rPr>
        <w:t>important?</w:t>
      </w:r>
    </w:p>
    <w:p w:rsidR="004B71C5" w:rsidRPr="004B71C5" w:rsidRDefault="004B71C5" w:rsidP="004B71C5">
      <w:pPr>
        <w:pStyle w:val="BodyText"/>
        <w:spacing w:before="220" w:line="362" w:lineRule="auto"/>
        <w:ind w:left="680" w:right="112"/>
        <w:rPr>
          <w:rFonts w:asciiTheme="minorHAnsi" w:hAnsiTheme="minorHAnsi" w:cstheme="minorHAnsi"/>
          <w:strike/>
        </w:rPr>
      </w:pPr>
      <w:r w:rsidRPr="004B71C5">
        <w:rPr>
          <w:rFonts w:asciiTheme="minorHAnsi" w:hAnsiTheme="minorHAnsi" w:cstheme="minorHAnsi"/>
        </w:rPr>
        <w:t xml:space="preserve">High quality RSE helps create safe school communities in which pupils can grow, learn, and develop positive, healthy </w:t>
      </w:r>
      <w:proofErr w:type="spellStart"/>
      <w:r w:rsidRPr="004B71C5">
        <w:rPr>
          <w:rFonts w:asciiTheme="minorHAnsi" w:hAnsiTheme="minorHAnsi" w:cstheme="minorHAnsi"/>
        </w:rPr>
        <w:t>behaviour</w:t>
      </w:r>
      <w:proofErr w:type="spellEnd"/>
      <w:r w:rsidRPr="004B71C5">
        <w:rPr>
          <w:rFonts w:asciiTheme="minorHAnsi" w:hAnsiTheme="minorHAnsi" w:cstheme="minorHAnsi"/>
        </w:rPr>
        <w:t xml:space="preserve"> for life. </w:t>
      </w:r>
    </w:p>
    <w:p w:rsidR="004B71C5" w:rsidRPr="004B71C5" w:rsidRDefault="004B71C5" w:rsidP="005D03A6">
      <w:pPr>
        <w:pStyle w:val="BodyText"/>
        <w:spacing w:before="120"/>
        <w:ind w:left="680" w:right="113"/>
        <w:rPr>
          <w:rFonts w:asciiTheme="minorHAnsi" w:hAnsiTheme="minorHAnsi" w:cstheme="minorHAnsi"/>
        </w:rPr>
      </w:pPr>
      <w:r w:rsidRPr="004B71C5">
        <w:rPr>
          <w:rFonts w:asciiTheme="minorHAnsi" w:hAnsiTheme="minorHAnsi" w:cstheme="minorHAnsi"/>
        </w:rPr>
        <w:t>Today’s children and young people are growing up in an increasingly complex world and living their lives seamlessly on and offline. This presents many positive and exciting</w:t>
      </w:r>
      <w:r w:rsidR="005D03A6">
        <w:rPr>
          <w:rFonts w:asciiTheme="minorHAnsi" w:hAnsiTheme="minorHAnsi" w:cstheme="minorHAnsi"/>
        </w:rPr>
        <w:t xml:space="preserve"> </w:t>
      </w:r>
      <w:r w:rsidRPr="004B71C5">
        <w:rPr>
          <w:rFonts w:asciiTheme="minorHAnsi" w:hAnsiTheme="minorHAnsi" w:cstheme="minorHAnsi"/>
        </w:rPr>
        <w:t>opportunities, but also challenges and risks. In this environment, children and young</w:t>
      </w:r>
      <w:r w:rsidR="005D03A6">
        <w:rPr>
          <w:rFonts w:asciiTheme="minorHAnsi" w:hAnsiTheme="minorHAnsi" w:cstheme="minorHAnsi"/>
        </w:rPr>
        <w:t xml:space="preserve"> </w:t>
      </w:r>
      <w:r w:rsidRPr="004B71C5">
        <w:rPr>
          <w:rFonts w:asciiTheme="minorHAnsi" w:hAnsiTheme="minorHAnsi" w:cstheme="minorHAnsi"/>
        </w:rPr>
        <w:t>people need to know how to be safe and healthy, and how to manage their academic, personal and social lives in a positive way.</w:t>
      </w:r>
    </w:p>
    <w:p w:rsidR="004B71C5" w:rsidRPr="004B71C5" w:rsidRDefault="004B71C5" w:rsidP="005D03A6">
      <w:pPr>
        <w:pStyle w:val="BodyText"/>
        <w:spacing w:before="120"/>
        <w:ind w:left="680" w:right="113"/>
        <w:rPr>
          <w:rFonts w:asciiTheme="minorHAnsi" w:hAnsiTheme="minorHAnsi" w:cstheme="minorHAnsi"/>
        </w:rPr>
      </w:pPr>
      <w:r w:rsidRPr="004B71C5">
        <w:rPr>
          <w:rFonts w:asciiTheme="minorHAnsi" w:hAnsiTheme="minorHAnsi" w:cstheme="minorHAnsi"/>
        </w:rPr>
        <w:t>This is why we</w:t>
      </w:r>
      <w:r w:rsidR="005D03A6">
        <w:rPr>
          <w:rFonts w:asciiTheme="minorHAnsi" w:hAnsiTheme="minorHAnsi" w:cstheme="minorHAnsi"/>
        </w:rPr>
        <w:t xml:space="preserve"> (</w:t>
      </w:r>
      <w:proofErr w:type="spellStart"/>
      <w:r w:rsidR="005D03A6">
        <w:rPr>
          <w:rFonts w:asciiTheme="minorHAnsi" w:hAnsiTheme="minorHAnsi" w:cstheme="minorHAnsi"/>
        </w:rPr>
        <w:t>DfE</w:t>
      </w:r>
      <w:proofErr w:type="spellEnd"/>
      <w:r w:rsidR="005D03A6">
        <w:rPr>
          <w:rFonts w:asciiTheme="minorHAnsi" w:hAnsiTheme="minorHAnsi" w:cstheme="minorHAnsi"/>
        </w:rPr>
        <w:t>)</w:t>
      </w:r>
      <w:r w:rsidRPr="004B71C5">
        <w:rPr>
          <w:rFonts w:asciiTheme="minorHAnsi" w:hAnsiTheme="minorHAnsi" w:cstheme="minorHAnsi"/>
        </w:rPr>
        <w:t xml:space="preserve"> have made Relationships Education compulsory in all primary schools in</w:t>
      </w:r>
      <w:r w:rsidR="005D03A6">
        <w:rPr>
          <w:rFonts w:asciiTheme="minorHAnsi" w:hAnsiTheme="minorHAnsi" w:cstheme="minorHAnsi"/>
        </w:rPr>
        <w:t xml:space="preserve"> </w:t>
      </w:r>
      <w:r w:rsidRPr="004B71C5">
        <w:rPr>
          <w:rFonts w:asciiTheme="minorHAnsi" w:hAnsiTheme="minorHAnsi" w:cstheme="minorHAnsi"/>
        </w:rPr>
        <w:t>England and Relationships and Sex Education compulsory in all secondary schools, as</w:t>
      </w:r>
      <w:r w:rsidR="005D03A6">
        <w:rPr>
          <w:rFonts w:asciiTheme="minorHAnsi" w:hAnsiTheme="minorHAnsi" w:cstheme="minorHAnsi"/>
        </w:rPr>
        <w:t xml:space="preserve"> </w:t>
      </w:r>
      <w:r w:rsidRPr="004B71C5">
        <w:rPr>
          <w:rFonts w:asciiTheme="minorHAnsi" w:hAnsiTheme="minorHAnsi" w:cstheme="minorHAnsi"/>
        </w:rPr>
        <w:t>well as making Health Education compulsory in all state-funded schools. The key</w:t>
      </w:r>
      <w:r w:rsidR="005D03A6">
        <w:rPr>
          <w:rFonts w:asciiTheme="minorHAnsi" w:hAnsiTheme="minorHAnsi" w:cstheme="minorHAnsi"/>
        </w:rPr>
        <w:t xml:space="preserve"> </w:t>
      </w:r>
      <w:r w:rsidRPr="004B71C5">
        <w:rPr>
          <w:rFonts w:asciiTheme="minorHAnsi" w:hAnsiTheme="minorHAnsi" w:cstheme="minorHAnsi"/>
        </w:rPr>
        <w:t>decisions on these subjects have been informed by a thorough engagement process,</w:t>
      </w:r>
      <w:r w:rsidR="005D03A6">
        <w:rPr>
          <w:rFonts w:asciiTheme="minorHAnsi" w:hAnsiTheme="minorHAnsi" w:cstheme="minorHAnsi"/>
        </w:rPr>
        <w:t xml:space="preserve"> </w:t>
      </w:r>
      <w:r w:rsidRPr="004B71C5">
        <w:rPr>
          <w:rFonts w:asciiTheme="minorHAnsi" w:hAnsiTheme="minorHAnsi" w:cstheme="minorHAnsi"/>
        </w:rPr>
        <w:t>including a public call for evidence that received over 23,000 responses from parents,</w:t>
      </w:r>
      <w:r w:rsidR="005D03A6">
        <w:rPr>
          <w:rFonts w:asciiTheme="minorHAnsi" w:hAnsiTheme="minorHAnsi" w:cstheme="minorHAnsi"/>
        </w:rPr>
        <w:t xml:space="preserve"> </w:t>
      </w:r>
      <w:r w:rsidRPr="004B71C5">
        <w:rPr>
          <w:rFonts w:asciiTheme="minorHAnsi" w:hAnsiTheme="minorHAnsi" w:cstheme="minorHAnsi"/>
        </w:rPr>
        <w:t>young people, schools and experts and a public consultation where over 40,000 people contacted the Department for Education.</w:t>
      </w:r>
    </w:p>
    <w:p w:rsidR="004B71C5" w:rsidRPr="004B71C5" w:rsidRDefault="004B71C5" w:rsidP="005D03A6">
      <w:pPr>
        <w:pStyle w:val="BodyText"/>
        <w:spacing w:before="120"/>
        <w:ind w:left="680" w:right="108"/>
        <w:rPr>
          <w:rFonts w:asciiTheme="minorHAnsi" w:hAnsiTheme="minorHAnsi" w:cstheme="minorHAnsi"/>
        </w:rPr>
      </w:pPr>
      <w:r w:rsidRPr="004B71C5">
        <w:rPr>
          <w:rFonts w:asciiTheme="minorHAnsi" w:hAnsiTheme="minorHAnsi" w:cstheme="minorHAnsi"/>
        </w:rPr>
        <w:t xml:space="preserve">‘Relationships Education, Relationships and Sex Education (RSE) and Health Education’ 2019      </w:t>
      </w:r>
      <w:hyperlink r:id="rId12" w:history="1">
        <w:r w:rsidRPr="004B71C5">
          <w:rPr>
            <w:rStyle w:val="Hyperlink"/>
            <w:rFonts w:asciiTheme="minorHAnsi" w:hAnsiTheme="minorHAnsi" w:cstheme="minorHAnsi"/>
          </w:rPr>
          <w:t>https://www.gov.uk/government/publications/relationships-education-relationships-and-sex-education-rse-and-health-education</w:t>
        </w:r>
      </w:hyperlink>
    </w:p>
    <w:p w:rsidR="005D03A6" w:rsidRDefault="004B71C5" w:rsidP="005D03A6">
      <w:pPr>
        <w:pStyle w:val="BodyText"/>
        <w:spacing w:before="120"/>
        <w:ind w:left="680" w:right="108"/>
        <w:rPr>
          <w:rFonts w:asciiTheme="minorHAnsi" w:hAnsiTheme="minorHAnsi" w:cstheme="minorHAnsi"/>
        </w:rPr>
      </w:pPr>
      <w:r w:rsidRPr="004B71C5">
        <w:rPr>
          <w:rFonts w:asciiTheme="minorHAnsi" w:hAnsiTheme="minorHAnsi" w:cstheme="minorHAnsi"/>
        </w:rPr>
        <w:t xml:space="preserve">Under the new </w:t>
      </w:r>
      <w:proofErr w:type="spellStart"/>
      <w:r w:rsidRPr="004B71C5">
        <w:rPr>
          <w:rFonts w:asciiTheme="minorHAnsi" w:hAnsiTheme="minorHAnsi" w:cstheme="minorHAnsi"/>
        </w:rPr>
        <w:t>Ofsted</w:t>
      </w:r>
      <w:proofErr w:type="spellEnd"/>
      <w:r w:rsidRPr="004B71C5">
        <w:rPr>
          <w:rFonts w:asciiTheme="minorHAnsi" w:hAnsiTheme="minorHAnsi" w:cstheme="minorHAnsi"/>
        </w:rPr>
        <w:t xml:space="preserve"> Framework, RSE will be inspected in the ‘Quality of Education’ judgement as a core curriculum subject.</w:t>
      </w:r>
    </w:p>
    <w:p w:rsidR="005D03A6" w:rsidRDefault="005D03A6" w:rsidP="005D03A6">
      <w:pPr>
        <w:pStyle w:val="BodyText"/>
        <w:spacing w:before="120"/>
        <w:ind w:left="680" w:right="108"/>
        <w:rPr>
          <w:rFonts w:asciiTheme="minorHAnsi" w:hAnsiTheme="minorHAnsi" w:cstheme="minorHAnsi"/>
        </w:rPr>
      </w:pPr>
    </w:p>
    <w:p w:rsidR="005D03A6" w:rsidRDefault="005D03A6" w:rsidP="005D03A6">
      <w:pPr>
        <w:pStyle w:val="Heading1"/>
        <w:tabs>
          <w:tab w:val="left" w:pos="681"/>
        </w:tabs>
        <w:ind w:firstLine="0"/>
        <w:rPr>
          <w:rFonts w:asciiTheme="minorHAnsi" w:hAnsiTheme="minorHAnsi" w:cstheme="minorHAnsi"/>
          <w:u w:val="none"/>
        </w:rPr>
      </w:pPr>
    </w:p>
    <w:p w:rsidR="004B71C5" w:rsidRPr="004B71C5" w:rsidRDefault="004B71C5" w:rsidP="005D03A6">
      <w:pPr>
        <w:pStyle w:val="Heading1"/>
        <w:numPr>
          <w:ilvl w:val="0"/>
          <w:numId w:val="3"/>
        </w:numPr>
        <w:tabs>
          <w:tab w:val="left" w:pos="681"/>
        </w:tabs>
        <w:rPr>
          <w:rFonts w:asciiTheme="minorHAnsi" w:hAnsiTheme="minorHAnsi" w:cstheme="minorHAnsi"/>
          <w:u w:val="none"/>
        </w:rPr>
      </w:pPr>
      <w:r w:rsidRPr="004B71C5">
        <w:rPr>
          <w:rFonts w:asciiTheme="minorHAnsi" w:hAnsiTheme="minorHAnsi" w:cstheme="minorHAnsi"/>
          <w:u w:val="none"/>
        </w:rPr>
        <w:t>What is high quality Relationships and Sex</w:t>
      </w:r>
      <w:r w:rsidRPr="004B71C5">
        <w:rPr>
          <w:rFonts w:asciiTheme="minorHAnsi" w:hAnsiTheme="minorHAnsi" w:cstheme="minorHAnsi"/>
          <w:spacing w:val="-7"/>
          <w:u w:val="none"/>
        </w:rPr>
        <w:t xml:space="preserve"> </w:t>
      </w:r>
      <w:r w:rsidRPr="004B71C5">
        <w:rPr>
          <w:rFonts w:asciiTheme="minorHAnsi" w:hAnsiTheme="minorHAnsi" w:cstheme="minorHAnsi"/>
          <w:u w:val="none"/>
        </w:rPr>
        <w:t>education?</w:t>
      </w:r>
    </w:p>
    <w:p w:rsidR="004B71C5" w:rsidRPr="004B71C5" w:rsidRDefault="004B71C5" w:rsidP="005D03A6">
      <w:pPr>
        <w:pStyle w:val="BodyText"/>
        <w:spacing w:before="220"/>
        <w:ind w:left="680" w:right="106"/>
        <w:rPr>
          <w:rFonts w:asciiTheme="minorHAnsi" w:hAnsiTheme="minorHAnsi" w:cstheme="minorHAnsi"/>
        </w:rPr>
      </w:pPr>
      <w:r w:rsidRPr="004B71C5">
        <w:rPr>
          <w:rFonts w:asciiTheme="minorHAnsi" w:hAnsiTheme="minorHAnsi" w:cstheme="minorHAnsi"/>
        </w:rPr>
        <w:t>The Bolsover School expe</w:t>
      </w:r>
      <w:r w:rsidR="005D03A6">
        <w:rPr>
          <w:rFonts w:asciiTheme="minorHAnsi" w:hAnsiTheme="minorHAnsi" w:cstheme="minorHAnsi"/>
        </w:rPr>
        <w:t>cts that Relationships and Sex E</w:t>
      </w:r>
      <w:r w:rsidRPr="004B71C5">
        <w:rPr>
          <w:rFonts w:asciiTheme="minorHAnsi" w:hAnsiTheme="minorHAnsi" w:cstheme="minorHAnsi"/>
        </w:rPr>
        <w:t>ducation through curriculum less</w:t>
      </w:r>
      <w:r w:rsidR="005D03A6">
        <w:rPr>
          <w:rFonts w:asciiTheme="minorHAnsi" w:hAnsiTheme="minorHAnsi" w:cstheme="minorHAnsi"/>
        </w:rPr>
        <w:t>ons and Personal Development</w:t>
      </w:r>
      <w:r w:rsidRPr="004B71C5">
        <w:rPr>
          <w:rFonts w:asciiTheme="minorHAnsi" w:hAnsiTheme="minorHAnsi" w:cstheme="minorHAnsi"/>
        </w:rPr>
        <w:t xml:space="preserve"> session</w:t>
      </w:r>
      <w:r w:rsidR="005D03A6">
        <w:rPr>
          <w:rFonts w:asciiTheme="minorHAnsi" w:hAnsiTheme="minorHAnsi" w:cstheme="minorHAnsi"/>
        </w:rPr>
        <w:t>s</w:t>
      </w:r>
      <w:r w:rsidRPr="004B71C5">
        <w:rPr>
          <w:rFonts w:asciiTheme="minorHAnsi" w:hAnsiTheme="minorHAnsi" w:cstheme="minorHAnsi"/>
        </w:rPr>
        <w:t>:</w:t>
      </w:r>
    </w:p>
    <w:p w:rsidR="004B71C5" w:rsidRPr="004B71C5" w:rsidRDefault="004B71C5" w:rsidP="005D03A6">
      <w:pPr>
        <w:pStyle w:val="ListParagraph"/>
        <w:numPr>
          <w:ilvl w:val="1"/>
          <w:numId w:val="3"/>
        </w:numPr>
        <w:tabs>
          <w:tab w:val="left" w:pos="1401"/>
        </w:tabs>
        <w:spacing w:before="58"/>
        <w:ind w:hanging="361"/>
        <w:rPr>
          <w:rFonts w:asciiTheme="minorHAnsi" w:hAnsiTheme="minorHAnsi" w:cstheme="minorHAnsi"/>
        </w:rPr>
      </w:pPr>
      <w:r w:rsidRPr="004B71C5">
        <w:rPr>
          <w:rFonts w:asciiTheme="minorHAnsi" w:hAnsiTheme="minorHAnsi" w:cstheme="minorHAnsi"/>
        </w:rPr>
        <w:t>is a partnership between home and school.</w:t>
      </w:r>
    </w:p>
    <w:p w:rsidR="004B71C5" w:rsidRPr="004B71C5" w:rsidRDefault="004B71C5" w:rsidP="005D03A6">
      <w:pPr>
        <w:pStyle w:val="ListParagraph"/>
        <w:numPr>
          <w:ilvl w:val="1"/>
          <w:numId w:val="3"/>
        </w:numPr>
        <w:tabs>
          <w:tab w:val="left" w:pos="1401"/>
        </w:tabs>
        <w:spacing w:before="134"/>
        <w:ind w:right="442"/>
        <w:rPr>
          <w:rFonts w:asciiTheme="minorHAnsi" w:hAnsiTheme="minorHAnsi" w:cstheme="minorHAnsi"/>
        </w:rPr>
      </w:pPr>
      <w:r w:rsidRPr="004B71C5">
        <w:rPr>
          <w:rFonts w:asciiTheme="minorHAnsi" w:hAnsiTheme="minorHAnsi" w:cstheme="minorHAnsi"/>
        </w:rPr>
        <w:t>includes the acquisition of knowledge, the development of life skills and respectful attitudes and</w:t>
      </w:r>
      <w:r w:rsidRPr="004B71C5">
        <w:rPr>
          <w:rFonts w:asciiTheme="minorHAnsi" w:hAnsiTheme="minorHAnsi" w:cstheme="minorHAnsi"/>
          <w:spacing w:val="-3"/>
        </w:rPr>
        <w:t xml:space="preserve"> </w:t>
      </w:r>
      <w:r w:rsidRPr="004B71C5">
        <w:rPr>
          <w:rFonts w:asciiTheme="minorHAnsi" w:hAnsiTheme="minorHAnsi" w:cstheme="minorHAnsi"/>
        </w:rPr>
        <w:t>values.</w:t>
      </w:r>
    </w:p>
    <w:p w:rsidR="004B71C5" w:rsidRPr="004B71C5" w:rsidRDefault="004B71C5" w:rsidP="005D03A6">
      <w:pPr>
        <w:pStyle w:val="ListParagraph"/>
        <w:numPr>
          <w:ilvl w:val="1"/>
          <w:numId w:val="3"/>
        </w:numPr>
        <w:tabs>
          <w:tab w:val="left" w:pos="1401"/>
        </w:tabs>
        <w:spacing w:before="2"/>
        <w:ind w:right="436"/>
        <w:rPr>
          <w:rFonts w:asciiTheme="minorHAnsi" w:hAnsiTheme="minorHAnsi" w:cstheme="minorHAnsi"/>
        </w:rPr>
      </w:pPr>
      <w:r w:rsidRPr="004B71C5">
        <w:rPr>
          <w:rFonts w:asciiTheme="minorHAnsi" w:hAnsiTheme="minorHAnsi" w:cstheme="minorHAnsi"/>
        </w:rPr>
        <w:t>has sufficient opportunity to cover a wide range of topics, with a strong emphasis on relationships, consent, rights, responsibilities to others, negotiation and communication skills, and accessing</w:t>
      </w:r>
      <w:r w:rsidRPr="004B71C5">
        <w:rPr>
          <w:rFonts w:asciiTheme="minorHAnsi" w:hAnsiTheme="minorHAnsi" w:cstheme="minorHAnsi"/>
          <w:spacing w:val="-9"/>
        </w:rPr>
        <w:t xml:space="preserve"> </w:t>
      </w:r>
      <w:r w:rsidRPr="004B71C5">
        <w:rPr>
          <w:rFonts w:asciiTheme="minorHAnsi" w:hAnsiTheme="minorHAnsi" w:cstheme="minorHAnsi"/>
        </w:rPr>
        <w:t>services.</w:t>
      </w:r>
    </w:p>
    <w:p w:rsidR="004B71C5" w:rsidRPr="004B71C5" w:rsidRDefault="004B71C5" w:rsidP="005D03A6">
      <w:pPr>
        <w:pStyle w:val="ListParagraph"/>
        <w:numPr>
          <w:ilvl w:val="1"/>
          <w:numId w:val="3"/>
        </w:numPr>
        <w:tabs>
          <w:tab w:val="left" w:pos="1401"/>
        </w:tabs>
        <w:ind w:right="439"/>
        <w:rPr>
          <w:rFonts w:asciiTheme="minorHAnsi" w:hAnsiTheme="minorHAnsi" w:cstheme="minorHAnsi"/>
        </w:rPr>
      </w:pPr>
      <w:r w:rsidRPr="004B71C5">
        <w:rPr>
          <w:rFonts w:asciiTheme="minorHAnsi" w:hAnsiTheme="minorHAnsi" w:cstheme="minorHAnsi"/>
        </w:rPr>
        <w:t>helps pupils understand on and offline safety, consent, violence and exploitation.</w:t>
      </w:r>
    </w:p>
    <w:p w:rsidR="004B71C5" w:rsidRPr="004B71C5" w:rsidRDefault="004B71C5" w:rsidP="005D03A6">
      <w:pPr>
        <w:pStyle w:val="ListParagraph"/>
        <w:numPr>
          <w:ilvl w:val="1"/>
          <w:numId w:val="3"/>
        </w:numPr>
        <w:tabs>
          <w:tab w:val="left" w:pos="1401"/>
        </w:tabs>
        <w:ind w:right="434"/>
        <w:rPr>
          <w:rFonts w:asciiTheme="minorHAnsi" w:hAnsiTheme="minorHAnsi" w:cstheme="minorHAnsi"/>
        </w:rPr>
      </w:pPr>
      <w:r w:rsidRPr="004B71C5">
        <w:rPr>
          <w:rFonts w:asciiTheme="minorHAnsi" w:hAnsiTheme="minorHAnsi" w:cstheme="minorHAnsi"/>
        </w:rPr>
        <w:t>is</w:t>
      </w:r>
      <w:r w:rsidRPr="004B71C5">
        <w:rPr>
          <w:rFonts w:asciiTheme="minorHAnsi" w:hAnsiTheme="minorHAnsi" w:cstheme="minorHAnsi"/>
          <w:spacing w:val="-12"/>
        </w:rPr>
        <w:t xml:space="preserve"> </w:t>
      </w:r>
      <w:r w:rsidRPr="004B71C5">
        <w:rPr>
          <w:rFonts w:asciiTheme="minorHAnsi" w:hAnsiTheme="minorHAnsi" w:cstheme="minorHAnsi"/>
        </w:rPr>
        <w:t>inclusive</w:t>
      </w:r>
      <w:r w:rsidRPr="004B71C5">
        <w:rPr>
          <w:rFonts w:asciiTheme="minorHAnsi" w:hAnsiTheme="minorHAnsi" w:cstheme="minorHAnsi"/>
          <w:spacing w:val="-11"/>
        </w:rPr>
        <w:t xml:space="preserve"> </w:t>
      </w:r>
      <w:r w:rsidRPr="004B71C5">
        <w:rPr>
          <w:rFonts w:asciiTheme="minorHAnsi" w:hAnsiTheme="minorHAnsi" w:cstheme="minorHAnsi"/>
        </w:rPr>
        <w:t>of</w:t>
      </w:r>
      <w:r w:rsidRPr="004B71C5">
        <w:rPr>
          <w:rFonts w:asciiTheme="minorHAnsi" w:hAnsiTheme="minorHAnsi" w:cstheme="minorHAnsi"/>
          <w:spacing w:val="-12"/>
        </w:rPr>
        <w:t xml:space="preserve"> </w:t>
      </w:r>
      <w:r w:rsidRPr="004B71C5">
        <w:rPr>
          <w:rFonts w:asciiTheme="minorHAnsi" w:hAnsiTheme="minorHAnsi" w:cstheme="minorHAnsi"/>
        </w:rPr>
        <w:t>difference:</w:t>
      </w:r>
      <w:r w:rsidRPr="004B71C5">
        <w:rPr>
          <w:rFonts w:asciiTheme="minorHAnsi" w:hAnsiTheme="minorHAnsi" w:cstheme="minorHAnsi"/>
          <w:spacing w:val="-12"/>
        </w:rPr>
        <w:t xml:space="preserve"> </w:t>
      </w:r>
      <w:r w:rsidRPr="004B71C5">
        <w:rPr>
          <w:rFonts w:asciiTheme="minorHAnsi" w:hAnsiTheme="minorHAnsi" w:cstheme="minorHAnsi"/>
        </w:rPr>
        <w:t>gender</w:t>
      </w:r>
      <w:r w:rsidRPr="004B71C5">
        <w:rPr>
          <w:rFonts w:asciiTheme="minorHAnsi" w:hAnsiTheme="minorHAnsi" w:cstheme="minorHAnsi"/>
          <w:spacing w:val="-14"/>
        </w:rPr>
        <w:t xml:space="preserve"> </w:t>
      </w:r>
      <w:r w:rsidRPr="004B71C5">
        <w:rPr>
          <w:rFonts w:asciiTheme="minorHAnsi" w:hAnsiTheme="minorHAnsi" w:cstheme="minorHAnsi"/>
        </w:rPr>
        <w:t>identity,</w:t>
      </w:r>
      <w:r w:rsidRPr="004B71C5">
        <w:rPr>
          <w:rFonts w:asciiTheme="minorHAnsi" w:hAnsiTheme="minorHAnsi" w:cstheme="minorHAnsi"/>
          <w:spacing w:val="-12"/>
        </w:rPr>
        <w:t xml:space="preserve"> </w:t>
      </w:r>
      <w:r w:rsidRPr="004B71C5">
        <w:rPr>
          <w:rFonts w:asciiTheme="minorHAnsi" w:hAnsiTheme="minorHAnsi" w:cstheme="minorHAnsi"/>
        </w:rPr>
        <w:t>sexual</w:t>
      </w:r>
      <w:r w:rsidRPr="004B71C5">
        <w:rPr>
          <w:rFonts w:asciiTheme="minorHAnsi" w:hAnsiTheme="minorHAnsi" w:cstheme="minorHAnsi"/>
          <w:spacing w:val="-11"/>
        </w:rPr>
        <w:t xml:space="preserve"> </w:t>
      </w:r>
      <w:r w:rsidRPr="004B71C5">
        <w:rPr>
          <w:rFonts w:asciiTheme="minorHAnsi" w:hAnsiTheme="minorHAnsi" w:cstheme="minorHAnsi"/>
        </w:rPr>
        <w:t>orientation,</w:t>
      </w:r>
      <w:r w:rsidRPr="004B71C5">
        <w:rPr>
          <w:rFonts w:asciiTheme="minorHAnsi" w:hAnsiTheme="minorHAnsi" w:cstheme="minorHAnsi"/>
          <w:spacing w:val="-13"/>
        </w:rPr>
        <w:t xml:space="preserve"> </w:t>
      </w:r>
      <w:r w:rsidRPr="004B71C5">
        <w:rPr>
          <w:rFonts w:asciiTheme="minorHAnsi" w:hAnsiTheme="minorHAnsi" w:cstheme="minorHAnsi"/>
        </w:rPr>
        <w:t>disability,</w:t>
      </w:r>
      <w:r w:rsidRPr="004B71C5">
        <w:rPr>
          <w:rFonts w:asciiTheme="minorHAnsi" w:hAnsiTheme="minorHAnsi" w:cstheme="minorHAnsi"/>
          <w:spacing w:val="-12"/>
        </w:rPr>
        <w:t xml:space="preserve"> </w:t>
      </w:r>
      <w:r w:rsidRPr="004B71C5">
        <w:rPr>
          <w:rFonts w:asciiTheme="minorHAnsi" w:hAnsiTheme="minorHAnsi" w:cstheme="minorHAnsi"/>
        </w:rPr>
        <w:t>ethnicity, culture, age, faith or belief, or other life</w:t>
      </w:r>
      <w:r w:rsidRPr="004B71C5">
        <w:rPr>
          <w:rFonts w:asciiTheme="minorHAnsi" w:hAnsiTheme="minorHAnsi" w:cstheme="minorHAnsi"/>
          <w:spacing w:val="-14"/>
        </w:rPr>
        <w:t xml:space="preserve"> </w:t>
      </w:r>
      <w:r w:rsidRPr="004B71C5">
        <w:rPr>
          <w:rFonts w:asciiTheme="minorHAnsi" w:hAnsiTheme="minorHAnsi" w:cstheme="minorHAnsi"/>
        </w:rPr>
        <w:t>experience.</w:t>
      </w:r>
    </w:p>
    <w:p w:rsidR="004B71C5" w:rsidRPr="004B71C5" w:rsidRDefault="004B71C5" w:rsidP="005D03A6">
      <w:pPr>
        <w:pStyle w:val="ListParagraph"/>
        <w:numPr>
          <w:ilvl w:val="1"/>
          <w:numId w:val="3"/>
        </w:numPr>
        <w:tabs>
          <w:tab w:val="left" w:pos="1401"/>
        </w:tabs>
        <w:ind w:right="437"/>
        <w:rPr>
          <w:rFonts w:asciiTheme="minorHAnsi" w:hAnsiTheme="minorHAnsi" w:cstheme="minorHAnsi"/>
        </w:rPr>
      </w:pPr>
      <w:r w:rsidRPr="004B71C5">
        <w:rPr>
          <w:rFonts w:asciiTheme="minorHAnsi" w:hAnsiTheme="minorHAnsi" w:cstheme="minorHAnsi"/>
        </w:rPr>
        <w:t>teaches pupils about the law and their rights to confidentiality even if they</w:t>
      </w:r>
      <w:r w:rsidRPr="004B71C5">
        <w:rPr>
          <w:rFonts w:asciiTheme="minorHAnsi" w:hAnsiTheme="minorHAnsi" w:cstheme="minorHAnsi"/>
          <w:spacing w:val="-37"/>
        </w:rPr>
        <w:t xml:space="preserve"> </w:t>
      </w:r>
      <w:r w:rsidRPr="004B71C5">
        <w:rPr>
          <w:rFonts w:asciiTheme="minorHAnsi" w:hAnsiTheme="minorHAnsi" w:cstheme="minorHAnsi"/>
        </w:rPr>
        <w:t xml:space="preserve">are under 16, and is linked to school-based and community health services and </w:t>
      </w:r>
      <w:proofErr w:type="spellStart"/>
      <w:r w:rsidRPr="004B71C5">
        <w:rPr>
          <w:rFonts w:asciiTheme="minorHAnsi" w:hAnsiTheme="minorHAnsi" w:cstheme="minorHAnsi"/>
        </w:rPr>
        <w:t>organisations</w:t>
      </w:r>
      <w:proofErr w:type="spellEnd"/>
      <w:r w:rsidRPr="004B71C5">
        <w:rPr>
          <w:rFonts w:asciiTheme="minorHAnsi" w:hAnsiTheme="minorHAnsi" w:cstheme="minorHAnsi"/>
        </w:rPr>
        <w:t>.</w:t>
      </w:r>
    </w:p>
    <w:p w:rsidR="004B71C5" w:rsidRPr="005D03A6" w:rsidRDefault="004B71C5" w:rsidP="00C44C2B">
      <w:pPr>
        <w:pStyle w:val="ListParagraph"/>
        <w:numPr>
          <w:ilvl w:val="1"/>
          <w:numId w:val="3"/>
        </w:numPr>
        <w:tabs>
          <w:tab w:val="left" w:pos="1401"/>
        </w:tabs>
        <w:spacing w:before="3"/>
        <w:ind w:right="442"/>
        <w:rPr>
          <w:rFonts w:asciiTheme="minorHAnsi" w:hAnsiTheme="minorHAnsi" w:cstheme="minorHAnsi"/>
        </w:rPr>
      </w:pPr>
      <w:r w:rsidRPr="005D03A6">
        <w:rPr>
          <w:rFonts w:asciiTheme="minorHAnsi" w:hAnsiTheme="minorHAnsi" w:cstheme="minorHAnsi"/>
        </w:rPr>
        <w:t xml:space="preserve">promotes equality in relationships, </w:t>
      </w:r>
      <w:proofErr w:type="spellStart"/>
      <w:r w:rsidRPr="005D03A6">
        <w:rPr>
          <w:rFonts w:asciiTheme="minorHAnsi" w:hAnsiTheme="minorHAnsi" w:cstheme="minorHAnsi"/>
        </w:rPr>
        <w:t>recognises</w:t>
      </w:r>
      <w:proofErr w:type="spellEnd"/>
      <w:r w:rsidRPr="005D03A6">
        <w:rPr>
          <w:rFonts w:asciiTheme="minorHAnsi" w:hAnsiTheme="minorHAnsi" w:cstheme="minorHAnsi"/>
        </w:rPr>
        <w:t xml:space="preserve"> and challenges gender inequality and reflects girls’ and boys’ different experiences and</w:t>
      </w:r>
      <w:r w:rsidRPr="005D03A6">
        <w:rPr>
          <w:rFonts w:asciiTheme="minorHAnsi" w:hAnsiTheme="minorHAnsi" w:cstheme="minorHAnsi"/>
          <w:spacing w:val="-18"/>
        </w:rPr>
        <w:t xml:space="preserve"> </w:t>
      </w:r>
      <w:r w:rsidRPr="005D03A6">
        <w:rPr>
          <w:rFonts w:asciiTheme="minorHAnsi" w:hAnsiTheme="minorHAnsi" w:cstheme="minorHAnsi"/>
        </w:rPr>
        <w:t>need</w:t>
      </w:r>
      <w:r w:rsidR="005D03A6">
        <w:rPr>
          <w:rFonts w:asciiTheme="minorHAnsi" w:hAnsiTheme="minorHAnsi" w:cstheme="minorHAnsi"/>
        </w:rPr>
        <w:t>s</w:t>
      </w:r>
    </w:p>
    <w:p w:rsidR="004B71C5" w:rsidRPr="004B71C5" w:rsidRDefault="004B71C5" w:rsidP="004B71C5">
      <w:pPr>
        <w:pStyle w:val="Heading1"/>
        <w:numPr>
          <w:ilvl w:val="0"/>
          <w:numId w:val="3"/>
        </w:numPr>
        <w:tabs>
          <w:tab w:val="left" w:pos="681"/>
        </w:tabs>
        <w:spacing w:before="205"/>
        <w:rPr>
          <w:rFonts w:asciiTheme="minorHAnsi" w:hAnsiTheme="minorHAnsi" w:cstheme="minorHAnsi"/>
          <w:u w:val="none"/>
        </w:rPr>
      </w:pPr>
      <w:r w:rsidRPr="004B71C5">
        <w:rPr>
          <w:rFonts w:asciiTheme="minorHAnsi" w:hAnsiTheme="minorHAnsi" w:cstheme="minorHAnsi"/>
          <w:u w:val="none"/>
        </w:rPr>
        <w:t>How RSE is</w:t>
      </w:r>
      <w:r w:rsidRPr="004B71C5">
        <w:rPr>
          <w:rFonts w:asciiTheme="minorHAnsi" w:hAnsiTheme="minorHAnsi" w:cstheme="minorHAnsi"/>
          <w:spacing w:val="-4"/>
          <w:u w:val="none"/>
        </w:rPr>
        <w:t xml:space="preserve"> </w:t>
      </w:r>
      <w:r w:rsidRPr="004B71C5">
        <w:rPr>
          <w:rFonts w:asciiTheme="minorHAnsi" w:hAnsiTheme="minorHAnsi" w:cstheme="minorHAnsi"/>
          <w:u w:val="none"/>
        </w:rPr>
        <w:t>taught</w:t>
      </w:r>
    </w:p>
    <w:p w:rsidR="004B71C5" w:rsidRPr="004B71C5" w:rsidRDefault="004B71C5" w:rsidP="005D03A6">
      <w:pPr>
        <w:pStyle w:val="BodyText"/>
        <w:spacing w:before="220"/>
        <w:ind w:left="680"/>
        <w:rPr>
          <w:rFonts w:asciiTheme="minorHAnsi" w:hAnsiTheme="minorHAnsi" w:cstheme="minorHAnsi"/>
        </w:rPr>
      </w:pPr>
      <w:r w:rsidRPr="004B71C5">
        <w:rPr>
          <w:rFonts w:asciiTheme="minorHAnsi" w:hAnsiTheme="minorHAnsi" w:cstheme="minorHAnsi"/>
        </w:rPr>
        <w:t>RSE is taught though spe</w:t>
      </w:r>
      <w:r w:rsidR="005D03A6">
        <w:rPr>
          <w:rFonts w:asciiTheme="minorHAnsi" w:hAnsiTheme="minorHAnsi" w:cstheme="minorHAnsi"/>
        </w:rPr>
        <w:t>cific curriculum time, during Personal Development</w:t>
      </w:r>
      <w:r w:rsidRPr="004B71C5">
        <w:rPr>
          <w:rFonts w:asciiTheme="minorHAnsi" w:hAnsiTheme="minorHAnsi" w:cstheme="minorHAnsi"/>
        </w:rPr>
        <w:t xml:space="preserve"> priority weeks, during tutorial and as part of the wider curriculum. This will include class room based activities with an identified P</w:t>
      </w:r>
      <w:r w:rsidR="005D03A6">
        <w:rPr>
          <w:rFonts w:asciiTheme="minorHAnsi" w:hAnsiTheme="minorHAnsi" w:cstheme="minorHAnsi"/>
        </w:rPr>
        <w:t xml:space="preserve">ersonal </w:t>
      </w:r>
      <w:r w:rsidRPr="004B71C5">
        <w:rPr>
          <w:rFonts w:asciiTheme="minorHAnsi" w:hAnsiTheme="minorHAnsi" w:cstheme="minorHAnsi"/>
        </w:rPr>
        <w:t>D</w:t>
      </w:r>
      <w:r w:rsidR="005D03A6">
        <w:rPr>
          <w:rFonts w:asciiTheme="minorHAnsi" w:hAnsiTheme="minorHAnsi" w:cstheme="minorHAnsi"/>
        </w:rPr>
        <w:t>evelopment</w:t>
      </w:r>
      <w:r w:rsidRPr="004B71C5">
        <w:rPr>
          <w:rFonts w:asciiTheme="minorHAnsi" w:hAnsiTheme="minorHAnsi" w:cstheme="minorHAnsi"/>
        </w:rPr>
        <w:t xml:space="preserve"> tutor, tutorial time and safe space discussion of topics, whilst continuing to be addressed where relevant as part of the core curriculum. These activities will be based in age appropriate groups where needed, however as a school with vertical tutoring there will also be the opportunity to explore topical issues in the day to day tutorial time.</w:t>
      </w:r>
    </w:p>
    <w:p w:rsidR="00606391" w:rsidRPr="004B71C5" w:rsidRDefault="004B71C5" w:rsidP="005D03A6">
      <w:pPr>
        <w:pStyle w:val="BodyText"/>
        <w:spacing w:before="220"/>
        <w:ind w:left="680"/>
        <w:rPr>
          <w:rFonts w:asciiTheme="minorHAnsi" w:hAnsiTheme="minorHAnsi" w:cstheme="minorHAnsi"/>
        </w:rPr>
      </w:pPr>
      <w:r w:rsidRPr="004B71C5">
        <w:rPr>
          <w:rFonts w:asciiTheme="minorHAnsi" w:hAnsiTheme="minorHAnsi" w:cstheme="minorHAnsi"/>
        </w:rPr>
        <w:t>Use of third parties is an ongoing area of development to ensure students have access to a wide range of expertise.</w:t>
      </w:r>
    </w:p>
    <w:sectPr w:rsidR="00606391" w:rsidRPr="004B71C5">
      <w:pgSz w:w="11910" w:h="16840"/>
      <w:pgMar w:top="760" w:right="1000" w:bottom="1660" w:left="760" w:header="0" w:footer="14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03" w:rsidRDefault="005D03A6">
      <w:r>
        <w:separator/>
      </w:r>
    </w:p>
  </w:endnote>
  <w:endnote w:type="continuationSeparator" w:id="0">
    <w:p w:rsidR="00814903" w:rsidRDefault="005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AC" w:rsidRDefault="009C7B2A">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11327"/>
      <w:docPartObj>
        <w:docPartGallery w:val="Page Numbers (Bottom of Page)"/>
        <w:docPartUnique/>
      </w:docPartObj>
    </w:sdtPr>
    <w:sdtEndPr>
      <w:rPr>
        <w:noProof/>
      </w:rPr>
    </w:sdtEndPr>
    <w:sdtContent>
      <w:p w:rsidR="009C7B2A" w:rsidRPr="009C7B2A" w:rsidRDefault="009C7B2A" w:rsidP="009C7B2A">
        <w:pPr>
          <w:pStyle w:val="Footer"/>
          <w:rPr>
            <w:rFonts w:asciiTheme="minorHAnsi" w:hAnsiTheme="minorHAnsi" w:cstheme="minorHAnsi"/>
            <w:color w:val="002060"/>
          </w:rPr>
        </w:pPr>
        <w:r w:rsidRPr="009C7B2A">
          <w:rPr>
            <w:rFonts w:asciiTheme="minorHAnsi" w:hAnsiTheme="minorHAnsi" w:cstheme="minorHAnsi"/>
            <w:noProof/>
            <w:color w:val="002060"/>
            <w:lang w:eastAsia="en-GB"/>
          </w:rPr>
          <w:drawing>
            <wp:anchor distT="0" distB="0" distL="114300" distR="114300" simplePos="0" relativeHeight="251661312" behindDoc="1" locked="0" layoutInCell="1" allowOverlap="1" wp14:anchorId="04B2375E" wp14:editId="4402BEB4">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sidRPr="009C7B2A">
          <w:rPr>
            <w:rFonts w:asciiTheme="minorHAnsi" w:hAnsiTheme="minorHAnsi" w:cstheme="minorHAnsi"/>
            <w:color w:val="002060"/>
          </w:rPr>
          <w:t xml:space="preserve">Policy: </w:t>
        </w:r>
        <w:r w:rsidRPr="009C7B2A">
          <w:rPr>
            <w:rFonts w:asciiTheme="minorHAnsi" w:hAnsiTheme="minorHAnsi" w:cstheme="minorHAnsi"/>
            <w:color w:val="002060"/>
          </w:rPr>
          <w:t xml:space="preserve">Relationships &amp; Sex Education Policy </w:t>
        </w:r>
        <w:r w:rsidRPr="009C7B2A">
          <w:rPr>
            <w:rFonts w:asciiTheme="minorHAnsi" w:hAnsiTheme="minorHAnsi" w:cstheme="minorHAnsi"/>
            <w:color w:val="002060"/>
          </w:rPr>
          <w:t xml:space="preserve"> </w:t>
        </w:r>
      </w:p>
      <w:p w:rsidR="009C7B2A" w:rsidRPr="009C7B2A" w:rsidRDefault="009C7B2A" w:rsidP="009C7B2A">
        <w:pPr>
          <w:pStyle w:val="Footer"/>
          <w:rPr>
            <w:rFonts w:asciiTheme="minorHAnsi" w:hAnsiTheme="minorHAnsi" w:cstheme="minorHAnsi"/>
            <w:color w:val="002060"/>
          </w:rPr>
        </w:pPr>
        <w:r w:rsidRPr="009C7B2A">
          <w:rPr>
            <w:rFonts w:asciiTheme="minorHAnsi" w:hAnsiTheme="minorHAnsi" w:cstheme="minorHAnsi"/>
            <w:color w:val="002060"/>
          </w:rPr>
          <w:t>Date: March</w:t>
        </w:r>
        <w:r w:rsidRPr="009C7B2A">
          <w:rPr>
            <w:rFonts w:asciiTheme="minorHAnsi" w:hAnsiTheme="minorHAnsi" w:cstheme="minorHAnsi"/>
            <w:color w:val="002060"/>
          </w:rPr>
          <w:t xml:space="preserve"> 2020</w:t>
        </w:r>
      </w:p>
      <w:p w:rsidR="009C7B2A" w:rsidRDefault="009C7B2A" w:rsidP="009C7B2A">
        <w:pPr>
          <w:pStyle w:val="Footer"/>
          <w:jc w:val="center"/>
        </w:pPr>
      </w:p>
    </w:sdtContent>
  </w:sdt>
  <w:p w:rsidR="009C7B2A" w:rsidRDefault="009C7B2A" w:rsidP="009C7B2A">
    <w:pPr>
      <w:pStyle w:val="Footer"/>
    </w:pPr>
  </w:p>
  <w:p w:rsidR="009C7B2A" w:rsidRDefault="009C7B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03" w:rsidRDefault="005D03A6">
      <w:r>
        <w:separator/>
      </w:r>
    </w:p>
  </w:footnote>
  <w:footnote w:type="continuationSeparator" w:id="0">
    <w:p w:rsidR="00814903" w:rsidRDefault="005D0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2A" w:rsidRDefault="009C7B2A">
    <w:pPr>
      <w:pStyle w:val="Header"/>
    </w:pPr>
    <w:r>
      <w:rPr>
        <w:rFonts w:cstheme="minorHAnsi"/>
        <w:noProof/>
        <w:lang w:eastAsia="en-GB"/>
      </w:rPr>
      <w:drawing>
        <wp:anchor distT="0" distB="0" distL="114300" distR="114300" simplePos="0" relativeHeight="251659264" behindDoc="0" locked="0" layoutInCell="1" allowOverlap="1" wp14:anchorId="4327FCDB" wp14:editId="701C42C9">
          <wp:simplePos x="0" y="0"/>
          <wp:positionH relativeFrom="column">
            <wp:posOffset>419100</wp:posOffset>
          </wp:positionH>
          <wp:positionV relativeFrom="paragraph">
            <wp:posOffset>-228600</wp:posOffset>
          </wp:positionV>
          <wp:extent cx="5731510" cy="1018024"/>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180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260"/>
    <w:multiLevelType w:val="hybridMultilevel"/>
    <w:tmpl w:val="7474FBC8"/>
    <w:lvl w:ilvl="0" w:tplc="EB2EF946">
      <w:start w:val="1"/>
      <w:numFmt w:val="decimal"/>
      <w:lvlText w:val="%1."/>
      <w:lvlJc w:val="left"/>
      <w:pPr>
        <w:ind w:left="680" w:hanging="361"/>
      </w:pPr>
      <w:rPr>
        <w:rFonts w:ascii="Century Gothic" w:eastAsia="Century Gothic" w:hAnsi="Century Gothic" w:cs="Century Gothic" w:hint="default"/>
        <w:b/>
        <w:bCs/>
        <w:spacing w:val="0"/>
        <w:w w:val="100"/>
        <w:sz w:val="22"/>
        <w:szCs w:val="22"/>
        <w:lang w:val="en-US" w:eastAsia="en-US" w:bidi="en-US"/>
      </w:rPr>
    </w:lvl>
    <w:lvl w:ilvl="1" w:tplc="810286E4">
      <w:numFmt w:val="bullet"/>
      <w:lvlText w:val=""/>
      <w:lvlJc w:val="left"/>
      <w:pPr>
        <w:ind w:left="1400" w:hanging="360"/>
      </w:pPr>
      <w:rPr>
        <w:rFonts w:ascii="Symbol" w:eastAsia="Symbol" w:hAnsi="Symbol" w:cs="Symbol" w:hint="default"/>
        <w:w w:val="100"/>
        <w:sz w:val="22"/>
        <w:szCs w:val="22"/>
        <w:lang w:val="en-US" w:eastAsia="en-US" w:bidi="en-US"/>
      </w:rPr>
    </w:lvl>
    <w:lvl w:ilvl="2" w:tplc="4F2CB618">
      <w:numFmt w:val="bullet"/>
      <w:lvlText w:val="•"/>
      <w:lvlJc w:val="left"/>
      <w:pPr>
        <w:ind w:left="2371" w:hanging="360"/>
      </w:pPr>
      <w:rPr>
        <w:rFonts w:hint="default"/>
        <w:lang w:val="en-US" w:eastAsia="en-US" w:bidi="en-US"/>
      </w:rPr>
    </w:lvl>
    <w:lvl w:ilvl="3" w:tplc="6E263066">
      <w:numFmt w:val="bullet"/>
      <w:lvlText w:val="•"/>
      <w:lvlJc w:val="left"/>
      <w:pPr>
        <w:ind w:left="3343" w:hanging="360"/>
      </w:pPr>
      <w:rPr>
        <w:rFonts w:hint="default"/>
        <w:lang w:val="en-US" w:eastAsia="en-US" w:bidi="en-US"/>
      </w:rPr>
    </w:lvl>
    <w:lvl w:ilvl="4" w:tplc="15F26454">
      <w:numFmt w:val="bullet"/>
      <w:lvlText w:val="•"/>
      <w:lvlJc w:val="left"/>
      <w:pPr>
        <w:ind w:left="4315" w:hanging="360"/>
      </w:pPr>
      <w:rPr>
        <w:rFonts w:hint="default"/>
        <w:lang w:val="en-US" w:eastAsia="en-US" w:bidi="en-US"/>
      </w:rPr>
    </w:lvl>
    <w:lvl w:ilvl="5" w:tplc="6F0217C0">
      <w:numFmt w:val="bullet"/>
      <w:lvlText w:val="•"/>
      <w:lvlJc w:val="left"/>
      <w:pPr>
        <w:ind w:left="5287" w:hanging="360"/>
      </w:pPr>
      <w:rPr>
        <w:rFonts w:hint="default"/>
        <w:lang w:val="en-US" w:eastAsia="en-US" w:bidi="en-US"/>
      </w:rPr>
    </w:lvl>
    <w:lvl w:ilvl="6" w:tplc="996E7A34">
      <w:numFmt w:val="bullet"/>
      <w:lvlText w:val="•"/>
      <w:lvlJc w:val="left"/>
      <w:pPr>
        <w:ind w:left="6259" w:hanging="360"/>
      </w:pPr>
      <w:rPr>
        <w:rFonts w:hint="default"/>
        <w:lang w:val="en-US" w:eastAsia="en-US" w:bidi="en-US"/>
      </w:rPr>
    </w:lvl>
    <w:lvl w:ilvl="7" w:tplc="8542D3EC">
      <w:numFmt w:val="bullet"/>
      <w:lvlText w:val="•"/>
      <w:lvlJc w:val="left"/>
      <w:pPr>
        <w:ind w:left="7230" w:hanging="360"/>
      </w:pPr>
      <w:rPr>
        <w:rFonts w:hint="default"/>
        <w:lang w:val="en-US" w:eastAsia="en-US" w:bidi="en-US"/>
      </w:rPr>
    </w:lvl>
    <w:lvl w:ilvl="8" w:tplc="8D56975E">
      <w:numFmt w:val="bullet"/>
      <w:lvlText w:val="•"/>
      <w:lvlJc w:val="left"/>
      <w:pPr>
        <w:ind w:left="8202" w:hanging="360"/>
      </w:pPr>
      <w:rPr>
        <w:rFonts w:hint="default"/>
        <w:lang w:val="en-US" w:eastAsia="en-US" w:bidi="en-US"/>
      </w:rPr>
    </w:lvl>
  </w:abstractNum>
  <w:abstractNum w:abstractNumId="1" w15:restartNumberingAfterBreak="0">
    <w:nsid w:val="23B47741"/>
    <w:multiLevelType w:val="hybridMultilevel"/>
    <w:tmpl w:val="864C7E68"/>
    <w:lvl w:ilvl="0" w:tplc="CFF0AED0">
      <w:numFmt w:val="bullet"/>
      <w:lvlText w:val="-"/>
      <w:lvlJc w:val="left"/>
      <w:pPr>
        <w:ind w:left="680" w:hanging="361"/>
      </w:pPr>
      <w:rPr>
        <w:rFonts w:ascii="Arial" w:eastAsia="Arial" w:hAnsi="Arial" w:cs="Arial" w:hint="default"/>
        <w:w w:val="100"/>
        <w:sz w:val="22"/>
        <w:szCs w:val="22"/>
        <w:lang w:val="en-US" w:eastAsia="en-US" w:bidi="en-US"/>
      </w:rPr>
    </w:lvl>
    <w:lvl w:ilvl="1" w:tplc="02584534">
      <w:numFmt w:val="bullet"/>
      <w:lvlText w:val="•"/>
      <w:lvlJc w:val="left"/>
      <w:pPr>
        <w:ind w:left="1626" w:hanging="361"/>
      </w:pPr>
      <w:rPr>
        <w:rFonts w:hint="default"/>
        <w:lang w:val="en-US" w:eastAsia="en-US" w:bidi="en-US"/>
      </w:rPr>
    </w:lvl>
    <w:lvl w:ilvl="2" w:tplc="6D02619C">
      <w:numFmt w:val="bullet"/>
      <w:lvlText w:val="•"/>
      <w:lvlJc w:val="left"/>
      <w:pPr>
        <w:ind w:left="2573" w:hanging="361"/>
      </w:pPr>
      <w:rPr>
        <w:rFonts w:hint="default"/>
        <w:lang w:val="en-US" w:eastAsia="en-US" w:bidi="en-US"/>
      </w:rPr>
    </w:lvl>
    <w:lvl w:ilvl="3" w:tplc="1654F7BA">
      <w:numFmt w:val="bullet"/>
      <w:lvlText w:val="•"/>
      <w:lvlJc w:val="left"/>
      <w:pPr>
        <w:ind w:left="3519" w:hanging="361"/>
      </w:pPr>
      <w:rPr>
        <w:rFonts w:hint="default"/>
        <w:lang w:val="en-US" w:eastAsia="en-US" w:bidi="en-US"/>
      </w:rPr>
    </w:lvl>
    <w:lvl w:ilvl="4" w:tplc="548AA1BA">
      <w:numFmt w:val="bullet"/>
      <w:lvlText w:val="•"/>
      <w:lvlJc w:val="left"/>
      <w:pPr>
        <w:ind w:left="4466" w:hanging="361"/>
      </w:pPr>
      <w:rPr>
        <w:rFonts w:hint="default"/>
        <w:lang w:val="en-US" w:eastAsia="en-US" w:bidi="en-US"/>
      </w:rPr>
    </w:lvl>
    <w:lvl w:ilvl="5" w:tplc="D56C13F4">
      <w:numFmt w:val="bullet"/>
      <w:lvlText w:val="•"/>
      <w:lvlJc w:val="left"/>
      <w:pPr>
        <w:ind w:left="5413" w:hanging="361"/>
      </w:pPr>
      <w:rPr>
        <w:rFonts w:hint="default"/>
        <w:lang w:val="en-US" w:eastAsia="en-US" w:bidi="en-US"/>
      </w:rPr>
    </w:lvl>
    <w:lvl w:ilvl="6" w:tplc="B47A2B22">
      <w:numFmt w:val="bullet"/>
      <w:lvlText w:val="•"/>
      <w:lvlJc w:val="left"/>
      <w:pPr>
        <w:ind w:left="6359" w:hanging="361"/>
      </w:pPr>
      <w:rPr>
        <w:rFonts w:hint="default"/>
        <w:lang w:val="en-US" w:eastAsia="en-US" w:bidi="en-US"/>
      </w:rPr>
    </w:lvl>
    <w:lvl w:ilvl="7" w:tplc="3D8EF148">
      <w:numFmt w:val="bullet"/>
      <w:lvlText w:val="•"/>
      <w:lvlJc w:val="left"/>
      <w:pPr>
        <w:ind w:left="7306" w:hanging="361"/>
      </w:pPr>
      <w:rPr>
        <w:rFonts w:hint="default"/>
        <w:lang w:val="en-US" w:eastAsia="en-US" w:bidi="en-US"/>
      </w:rPr>
    </w:lvl>
    <w:lvl w:ilvl="8" w:tplc="214EF504">
      <w:numFmt w:val="bullet"/>
      <w:lvlText w:val="•"/>
      <w:lvlJc w:val="left"/>
      <w:pPr>
        <w:ind w:left="8253" w:hanging="361"/>
      </w:pPr>
      <w:rPr>
        <w:rFonts w:hint="default"/>
        <w:lang w:val="en-US" w:eastAsia="en-US" w:bidi="en-US"/>
      </w:rPr>
    </w:lvl>
  </w:abstractNum>
  <w:abstractNum w:abstractNumId="2" w15:restartNumberingAfterBreak="0">
    <w:nsid w:val="55444E57"/>
    <w:multiLevelType w:val="hybridMultilevel"/>
    <w:tmpl w:val="5B204168"/>
    <w:lvl w:ilvl="0" w:tplc="A04048AE">
      <w:numFmt w:val="bullet"/>
      <w:lvlText w:val=""/>
      <w:lvlJc w:val="left"/>
      <w:pPr>
        <w:ind w:left="680" w:hanging="361"/>
      </w:pPr>
      <w:rPr>
        <w:rFonts w:ascii="Symbol" w:eastAsia="Symbol" w:hAnsi="Symbol" w:cs="Symbol" w:hint="default"/>
        <w:w w:val="100"/>
        <w:sz w:val="22"/>
        <w:szCs w:val="22"/>
        <w:lang w:val="en-US" w:eastAsia="en-US" w:bidi="en-US"/>
      </w:rPr>
    </w:lvl>
    <w:lvl w:ilvl="1" w:tplc="9BDA7E98">
      <w:numFmt w:val="bullet"/>
      <w:lvlText w:val="•"/>
      <w:lvlJc w:val="left"/>
      <w:pPr>
        <w:ind w:left="1626" w:hanging="361"/>
      </w:pPr>
      <w:rPr>
        <w:rFonts w:hint="default"/>
        <w:lang w:val="en-US" w:eastAsia="en-US" w:bidi="en-US"/>
      </w:rPr>
    </w:lvl>
    <w:lvl w:ilvl="2" w:tplc="F7A2ABDC">
      <w:numFmt w:val="bullet"/>
      <w:lvlText w:val="•"/>
      <w:lvlJc w:val="left"/>
      <w:pPr>
        <w:ind w:left="2573" w:hanging="361"/>
      </w:pPr>
      <w:rPr>
        <w:rFonts w:hint="default"/>
        <w:lang w:val="en-US" w:eastAsia="en-US" w:bidi="en-US"/>
      </w:rPr>
    </w:lvl>
    <w:lvl w:ilvl="3" w:tplc="B5CCE0A2">
      <w:numFmt w:val="bullet"/>
      <w:lvlText w:val="•"/>
      <w:lvlJc w:val="left"/>
      <w:pPr>
        <w:ind w:left="3519" w:hanging="361"/>
      </w:pPr>
      <w:rPr>
        <w:rFonts w:hint="default"/>
        <w:lang w:val="en-US" w:eastAsia="en-US" w:bidi="en-US"/>
      </w:rPr>
    </w:lvl>
    <w:lvl w:ilvl="4" w:tplc="55A0552C">
      <w:numFmt w:val="bullet"/>
      <w:lvlText w:val="•"/>
      <w:lvlJc w:val="left"/>
      <w:pPr>
        <w:ind w:left="4466" w:hanging="361"/>
      </w:pPr>
      <w:rPr>
        <w:rFonts w:hint="default"/>
        <w:lang w:val="en-US" w:eastAsia="en-US" w:bidi="en-US"/>
      </w:rPr>
    </w:lvl>
    <w:lvl w:ilvl="5" w:tplc="CAC6B7C4">
      <w:numFmt w:val="bullet"/>
      <w:lvlText w:val="•"/>
      <w:lvlJc w:val="left"/>
      <w:pPr>
        <w:ind w:left="5413" w:hanging="361"/>
      </w:pPr>
      <w:rPr>
        <w:rFonts w:hint="default"/>
        <w:lang w:val="en-US" w:eastAsia="en-US" w:bidi="en-US"/>
      </w:rPr>
    </w:lvl>
    <w:lvl w:ilvl="6" w:tplc="6CE4E0DA">
      <w:numFmt w:val="bullet"/>
      <w:lvlText w:val="•"/>
      <w:lvlJc w:val="left"/>
      <w:pPr>
        <w:ind w:left="6359" w:hanging="361"/>
      </w:pPr>
      <w:rPr>
        <w:rFonts w:hint="default"/>
        <w:lang w:val="en-US" w:eastAsia="en-US" w:bidi="en-US"/>
      </w:rPr>
    </w:lvl>
    <w:lvl w:ilvl="7" w:tplc="9C8ACA4E">
      <w:numFmt w:val="bullet"/>
      <w:lvlText w:val="•"/>
      <w:lvlJc w:val="left"/>
      <w:pPr>
        <w:ind w:left="7306" w:hanging="361"/>
      </w:pPr>
      <w:rPr>
        <w:rFonts w:hint="default"/>
        <w:lang w:val="en-US" w:eastAsia="en-US" w:bidi="en-US"/>
      </w:rPr>
    </w:lvl>
    <w:lvl w:ilvl="8" w:tplc="97AAD822">
      <w:numFmt w:val="bullet"/>
      <w:lvlText w:val="•"/>
      <w:lvlJc w:val="left"/>
      <w:pPr>
        <w:ind w:left="8253"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C5"/>
    <w:rsid w:val="004B71C5"/>
    <w:rsid w:val="005D03A6"/>
    <w:rsid w:val="00606391"/>
    <w:rsid w:val="00814903"/>
    <w:rsid w:val="009C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D5A48"/>
  <w15:chartTrackingRefBased/>
  <w15:docId w15:val="{083C1227-3C31-458A-85BD-565296A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71C5"/>
    <w:pPr>
      <w:widowControl w:val="0"/>
      <w:autoSpaceDE w:val="0"/>
      <w:autoSpaceDN w:val="0"/>
      <w:spacing w:after="0" w:line="240" w:lineRule="auto"/>
    </w:pPr>
    <w:rPr>
      <w:rFonts w:ascii="Century Gothic" w:eastAsia="Century Gothic" w:hAnsi="Century Gothic" w:cs="Century Gothic"/>
      <w:lang w:val="en-US" w:bidi="en-US"/>
    </w:rPr>
  </w:style>
  <w:style w:type="paragraph" w:styleId="Heading1">
    <w:name w:val="heading 1"/>
    <w:basedOn w:val="Normal"/>
    <w:link w:val="Heading1Char"/>
    <w:uiPriority w:val="1"/>
    <w:qFormat/>
    <w:rsid w:val="004B71C5"/>
    <w:pPr>
      <w:ind w:left="680"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71C5"/>
    <w:rPr>
      <w:rFonts w:ascii="Century Gothic" w:eastAsia="Century Gothic" w:hAnsi="Century Gothic" w:cs="Century Gothic"/>
      <w:b/>
      <w:bCs/>
      <w:u w:val="single" w:color="000000"/>
      <w:lang w:val="en-US" w:bidi="en-US"/>
    </w:rPr>
  </w:style>
  <w:style w:type="paragraph" w:styleId="BodyText">
    <w:name w:val="Body Text"/>
    <w:basedOn w:val="Normal"/>
    <w:link w:val="BodyTextChar"/>
    <w:uiPriority w:val="1"/>
    <w:qFormat/>
    <w:rsid w:val="004B71C5"/>
  </w:style>
  <w:style w:type="character" w:customStyle="1" w:styleId="BodyTextChar">
    <w:name w:val="Body Text Char"/>
    <w:basedOn w:val="DefaultParagraphFont"/>
    <w:link w:val="BodyText"/>
    <w:uiPriority w:val="1"/>
    <w:rsid w:val="004B71C5"/>
    <w:rPr>
      <w:rFonts w:ascii="Century Gothic" w:eastAsia="Century Gothic" w:hAnsi="Century Gothic" w:cs="Century Gothic"/>
      <w:lang w:val="en-US" w:bidi="en-US"/>
    </w:rPr>
  </w:style>
  <w:style w:type="paragraph" w:styleId="ListParagraph">
    <w:name w:val="List Paragraph"/>
    <w:basedOn w:val="Normal"/>
    <w:uiPriority w:val="1"/>
    <w:qFormat/>
    <w:rsid w:val="004B71C5"/>
    <w:pPr>
      <w:ind w:left="1400" w:hanging="361"/>
    </w:pPr>
  </w:style>
  <w:style w:type="paragraph" w:customStyle="1" w:styleId="TableParagraph">
    <w:name w:val="Table Paragraph"/>
    <w:basedOn w:val="Normal"/>
    <w:uiPriority w:val="1"/>
    <w:qFormat/>
    <w:rsid w:val="004B71C5"/>
    <w:pPr>
      <w:spacing w:before="3"/>
      <w:ind w:left="107"/>
    </w:pPr>
  </w:style>
  <w:style w:type="character" w:styleId="Hyperlink">
    <w:name w:val="Hyperlink"/>
    <w:basedOn w:val="DefaultParagraphFont"/>
    <w:uiPriority w:val="99"/>
    <w:unhideWhenUsed/>
    <w:rsid w:val="004B71C5"/>
    <w:rPr>
      <w:color w:val="0000FF"/>
      <w:u w:val="single"/>
    </w:rPr>
  </w:style>
  <w:style w:type="paragraph" w:styleId="Header">
    <w:name w:val="header"/>
    <w:basedOn w:val="Normal"/>
    <w:link w:val="HeaderChar"/>
    <w:uiPriority w:val="99"/>
    <w:unhideWhenUsed/>
    <w:rsid w:val="005D03A6"/>
    <w:pPr>
      <w:tabs>
        <w:tab w:val="center" w:pos="4513"/>
        <w:tab w:val="right" w:pos="9026"/>
      </w:tabs>
    </w:pPr>
  </w:style>
  <w:style w:type="character" w:customStyle="1" w:styleId="HeaderChar">
    <w:name w:val="Header Char"/>
    <w:basedOn w:val="DefaultParagraphFont"/>
    <w:link w:val="Header"/>
    <w:uiPriority w:val="99"/>
    <w:rsid w:val="005D03A6"/>
    <w:rPr>
      <w:rFonts w:ascii="Century Gothic" w:eastAsia="Century Gothic" w:hAnsi="Century Gothic" w:cs="Century Gothic"/>
      <w:lang w:val="en-US" w:bidi="en-US"/>
    </w:rPr>
  </w:style>
  <w:style w:type="paragraph" w:styleId="Footer">
    <w:name w:val="footer"/>
    <w:basedOn w:val="Normal"/>
    <w:link w:val="FooterChar"/>
    <w:uiPriority w:val="99"/>
    <w:unhideWhenUsed/>
    <w:rsid w:val="005D03A6"/>
    <w:pPr>
      <w:tabs>
        <w:tab w:val="center" w:pos="4513"/>
        <w:tab w:val="right" w:pos="9026"/>
      </w:tabs>
    </w:pPr>
  </w:style>
  <w:style w:type="character" w:customStyle="1" w:styleId="FooterChar">
    <w:name w:val="Footer Char"/>
    <w:basedOn w:val="DefaultParagraphFont"/>
    <w:link w:val="Footer"/>
    <w:uiPriority w:val="99"/>
    <w:rsid w:val="005D03A6"/>
    <w:rPr>
      <w:rFonts w:ascii="Century Gothic" w:eastAsia="Century Gothic" w:hAnsi="Century Gothic" w:cs="Century Gothic"/>
      <w:lang w:val="en-US" w:bidi="en-US"/>
    </w:rPr>
  </w:style>
  <w:style w:type="table" w:styleId="TableGrid">
    <w:name w:val="Table Grid"/>
    <w:basedOn w:val="TableNormal"/>
    <w:uiPriority w:val="39"/>
    <w:rsid w:val="009C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relationships-education-relationships-and-sex-education-rse-and-health-education" TargetMode="External"/><Relationship Id="rId12"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Bolsover School</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K Mrs</dc:creator>
  <cp:keywords/>
  <dc:description/>
  <cp:lastModifiedBy>Whittaker, D Mrs</cp:lastModifiedBy>
  <cp:revision>2</cp:revision>
  <dcterms:created xsi:type="dcterms:W3CDTF">2020-03-09T14:34:00Z</dcterms:created>
  <dcterms:modified xsi:type="dcterms:W3CDTF">2020-03-09T14:34:00Z</dcterms:modified>
</cp:coreProperties>
</file>