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787859024"/>
        <w:docPartObj>
          <w:docPartGallery w:val="Cover Pages"/>
          <w:docPartUnique/>
        </w:docPartObj>
      </w:sdtPr>
      <w:sdtEndPr/>
      <w:sdtContent>
        <w:p w14:paraId="114D3602" w14:textId="77777777" w:rsidR="000D3FE7" w:rsidRPr="00A85E11" w:rsidRDefault="000D3FE7" w:rsidP="000D3FE7">
          <w:pPr>
            <w:pStyle w:val="NoSpacing"/>
            <w:spacing w:before="1540" w:after="240"/>
            <w:jc w:val="center"/>
          </w:pPr>
        </w:p>
        <w:sdt>
          <w:sdtPr>
            <w:rPr>
              <w:rFonts w:asciiTheme="majorHAnsi" w:eastAsiaTheme="majorEastAsia" w:hAnsiTheme="majorHAnsi" w:cstheme="majorBidi"/>
              <w:caps/>
              <w:sz w:val="72"/>
              <w:szCs w:val="72"/>
            </w:rPr>
            <w:alias w:val="Title"/>
            <w:tag w:val=""/>
            <w:id w:val="1735040861"/>
            <w:placeholder>
              <w:docPart w:val="6EFE79D036854995ADB2AF26C3FCABB3"/>
            </w:placeholder>
            <w:dataBinding w:prefixMappings="xmlns:ns0='http://purl.org/dc/elements/1.1/' xmlns:ns1='http://schemas.openxmlformats.org/package/2006/metadata/core-properties' " w:xpath="/ns1:coreProperties[1]/ns0:title[1]" w:storeItemID="{6C3C8BC8-F283-45AE-878A-BAB7291924A1}"/>
            <w:text/>
          </w:sdtPr>
          <w:sdtEndPr/>
          <w:sdtContent>
            <w:p w14:paraId="5A1D980F" w14:textId="77777777" w:rsidR="000D3FE7" w:rsidRPr="00A85E11" w:rsidRDefault="000824B7" w:rsidP="000D3FE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lang w:val="en-GB"/>
                </w:rPr>
                <w:t>The Bolsover School</w:t>
              </w:r>
              <w:r w:rsidR="007B7C4E">
                <w:rPr>
                  <w:rFonts w:asciiTheme="majorHAnsi" w:eastAsiaTheme="majorEastAsia" w:hAnsiTheme="majorHAnsi" w:cstheme="majorBidi"/>
                  <w:caps/>
                  <w:sz w:val="72"/>
                  <w:szCs w:val="72"/>
                  <w:lang w:val="en-GB"/>
                </w:rPr>
                <w:t xml:space="preserve">                                                  Pupil Premium strategy</w:t>
              </w:r>
            </w:p>
          </w:sdtContent>
        </w:sdt>
        <w:p w14:paraId="3C5F4D2B" w14:textId="77777777" w:rsidR="000D3FE7" w:rsidRPr="00A85E11" w:rsidRDefault="000D3FE7" w:rsidP="000D3FE7">
          <w:pPr>
            <w:pStyle w:val="NoSpacing"/>
            <w:jc w:val="center"/>
            <w:rPr>
              <w:sz w:val="28"/>
              <w:szCs w:val="28"/>
            </w:rPr>
          </w:pPr>
        </w:p>
        <w:p w14:paraId="2F203CAB" w14:textId="77777777" w:rsidR="000D3FE7" w:rsidRPr="00A85E11" w:rsidRDefault="004D6BA2" w:rsidP="000D3FE7">
          <w:pPr>
            <w:pStyle w:val="NoSpacing"/>
            <w:spacing w:before="480"/>
            <w:jc w:val="center"/>
          </w:pPr>
          <w:r w:rsidRPr="004D6BA2">
            <w:rPr>
              <w:noProof/>
              <w:lang w:val="en-GB" w:eastAsia="en-GB"/>
            </w:rPr>
            <w:drawing>
              <wp:anchor distT="0" distB="0" distL="114300" distR="114300" simplePos="0" relativeHeight="251655680" behindDoc="1" locked="0" layoutInCell="1" allowOverlap="1" wp14:anchorId="30E56A84" wp14:editId="6C34242A">
                <wp:simplePos x="0" y="0"/>
                <wp:positionH relativeFrom="column">
                  <wp:posOffset>3781425</wp:posOffset>
                </wp:positionH>
                <wp:positionV relativeFrom="paragraph">
                  <wp:posOffset>49530</wp:posOffset>
                </wp:positionV>
                <wp:extent cx="2362200" cy="2806222"/>
                <wp:effectExtent l="0" t="0" r="0" b="0"/>
                <wp:wrapTight wrapText="bothSides">
                  <wp:wrapPolygon edited="0">
                    <wp:start x="7665" y="293"/>
                    <wp:lineTo x="5226" y="733"/>
                    <wp:lineTo x="3658" y="1613"/>
                    <wp:lineTo x="4006" y="5279"/>
                    <wp:lineTo x="4877" y="7625"/>
                    <wp:lineTo x="6271" y="9971"/>
                    <wp:lineTo x="9058" y="12318"/>
                    <wp:lineTo x="4703" y="14664"/>
                    <wp:lineTo x="2787" y="14664"/>
                    <wp:lineTo x="3135" y="16570"/>
                    <wp:lineTo x="10800" y="17010"/>
                    <wp:lineTo x="6794" y="17597"/>
                    <wp:lineTo x="6619" y="18770"/>
                    <wp:lineTo x="6968" y="19650"/>
                    <wp:lineTo x="14806" y="19650"/>
                    <wp:lineTo x="15155" y="18037"/>
                    <wp:lineTo x="14284" y="17450"/>
                    <wp:lineTo x="10800" y="17010"/>
                    <wp:lineTo x="18290" y="16424"/>
                    <wp:lineTo x="18465" y="15251"/>
                    <wp:lineTo x="12368" y="14664"/>
                    <wp:lineTo x="12194" y="12318"/>
                    <wp:lineTo x="14981" y="9971"/>
                    <wp:lineTo x="16374" y="7625"/>
                    <wp:lineTo x="17071" y="5279"/>
                    <wp:lineTo x="17594" y="1613"/>
                    <wp:lineTo x="16026" y="733"/>
                    <wp:lineTo x="13065" y="293"/>
                    <wp:lineTo x="7665" y="293"/>
                  </wp:wrapPolygon>
                </wp:wrapTight>
                <wp:docPr id="6" name="Picture 6" descr="V:\Staff Information\Forms\The Bolsover 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 Information\Forms\The Bolsover School 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806222"/>
                        </a:xfrm>
                        <a:prstGeom prst="rect">
                          <a:avLst/>
                        </a:prstGeom>
                        <a:noFill/>
                        <a:ln>
                          <a:noFill/>
                        </a:ln>
                      </pic:spPr>
                    </pic:pic>
                  </a:graphicData>
                </a:graphic>
                <wp14:sizeRelH relativeFrom="page">
                  <wp14:pctWidth>0</wp14:pctWidth>
                </wp14:sizeRelH>
                <wp14:sizeRelV relativeFrom="page">
                  <wp14:pctHeight>0</wp14:pctHeight>
                </wp14:sizeRelV>
              </wp:anchor>
            </w:drawing>
          </w:r>
          <w:r w:rsidR="000D3FE7" w:rsidRPr="00A85E11">
            <w:rPr>
              <w:noProof/>
              <w:lang w:val="en-GB" w:eastAsia="en-GB"/>
            </w:rPr>
            <mc:AlternateContent>
              <mc:Choice Requires="wps">
                <w:drawing>
                  <wp:anchor distT="0" distB="0" distL="114300" distR="114300" simplePos="0" relativeHeight="251653632" behindDoc="0" locked="0" layoutInCell="1" allowOverlap="1" wp14:anchorId="275C53C6" wp14:editId="1C0697CB">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891D6" w14:textId="77777777" w:rsidR="00620449" w:rsidRPr="00544763" w:rsidRDefault="00620449" w:rsidP="000D3FE7">
                                <w:pPr>
                                  <w:pStyle w:val="NoSpacing"/>
                                  <w:jc w:val="center"/>
                                  <w:rPr>
                                    <w:sz w:val="32"/>
                                  </w:rPr>
                                </w:pPr>
                                <w:r>
                                  <w:rPr>
                                    <w:caps/>
                                    <w:sz w:val="40"/>
                                    <w:szCs w:val="28"/>
                                  </w:rPr>
                                  <w:t>2019/20</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75C53C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36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019891D6" w14:textId="77777777" w:rsidR="00620449" w:rsidRPr="00544763" w:rsidRDefault="00620449" w:rsidP="000D3FE7">
                          <w:pPr>
                            <w:pStyle w:val="NoSpacing"/>
                            <w:jc w:val="center"/>
                            <w:rPr>
                              <w:sz w:val="32"/>
                            </w:rPr>
                          </w:pPr>
                          <w:r>
                            <w:rPr>
                              <w:caps/>
                              <w:sz w:val="40"/>
                              <w:szCs w:val="28"/>
                            </w:rPr>
                            <w:t>2019/20</w:t>
                          </w:r>
                        </w:p>
                      </w:txbxContent>
                    </v:textbox>
                    <w10:wrap anchorx="margin" anchory="page"/>
                  </v:shape>
                </w:pict>
              </mc:Fallback>
            </mc:AlternateContent>
          </w:r>
        </w:p>
        <w:p w14:paraId="5A541EF6" w14:textId="77777777" w:rsidR="00FF0776" w:rsidRDefault="000D3FE7" w:rsidP="004D43D1">
          <w:r w:rsidRPr="00A85E11">
            <w:br w:type="page"/>
          </w:r>
        </w:p>
      </w:sdtContent>
    </w:sdt>
    <w:p w14:paraId="3E2466E5" w14:textId="141DE7D9" w:rsidR="004D43D1" w:rsidRPr="000D3FE7" w:rsidRDefault="00664D68" w:rsidP="004D43D1">
      <w:r w:rsidRPr="00992181">
        <w:rPr>
          <w:b/>
          <w:noProof/>
          <w:lang w:eastAsia="en-GB"/>
        </w:rPr>
        <w:lastRenderedPageBreak/>
        <mc:AlternateContent>
          <mc:Choice Requires="wps">
            <w:drawing>
              <wp:anchor distT="45720" distB="45720" distL="114300" distR="114300" simplePos="0" relativeHeight="251654656" behindDoc="0" locked="0" layoutInCell="1" allowOverlap="1" wp14:anchorId="43F9F773" wp14:editId="6796D329">
                <wp:simplePos x="0" y="0"/>
                <wp:positionH relativeFrom="margin">
                  <wp:posOffset>3697236</wp:posOffset>
                </wp:positionH>
                <wp:positionV relativeFrom="paragraph">
                  <wp:posOffset>267173</wp:posOffset>
                </wp:positionV>
                <wp:extent cx="6220047" cy="2114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047" cy="2114550"/>
                        </a:xfrm>
                        <a:prstGeom prst="rect">
                          <a:avLst/>
                        </a:prstGeom>
                        <a:solidFill>
                          <a:srgbClr val="FFFFFF"/>
                        </a:solidFill>
                        <a:ln w="9525">
                          <a:noFill/>
                          <a:miter lim="800000"/>
                          <a:headEnd/>
                          <a:tailEnd/>
                        </a:ln>
                      </wps:spPr>
                      <wps:txbx>
                        <w:txbxContent>
                          <w:p w14:paraId="3106502F" w14:textId="77777777" w:rsidR="00620449" w:rsidRPr="00BE0B79" w:rsidRDefault="00620449">
                            <w:pPr>
                              <w:rPr>
                                <w:b/>
                              </w:rPr>
                            </w:pPr>
                            <w:r w:rsidRPr="00BE0B79">
                              <w:rPr>
                                <w:b/>
                              </w:rPr>
                              <w:t>Progress 8 results &amp; predictions:</w:t>
                            </w:r>
                          </w:p>
                          <w:tbl>
                            <w:tblPr>
                              <w:tblW w:w="6580" w:type="dxa"/>
                              <w:tblLook w:val="04A0" w:firstRow="1" w:lastRow="0" w:firstColumn="1" w:lastColumn="0" w:noHBand="0" w:noVBand="1"/>
                            </w:tblPr>
                            <w:tblGrid>
                              <w:gridCol w:w="2044"/>
                              <w:gridCol w:w="1418"/>
                              <w:gridCol w:w="1417"/>
                              <w:gridCol w:w="1701"/>
                            </w:tblGrid>
                            <w:tr w:rsidR="00620449" w:rsidRPr="00DE22A6" w14:paraId="5CC993DD" w14:textId="77777777" w:rsidTr="00664D68">
                              <w:trPr>
                                <w:trHeight w:val="533"/>
                              </w:trPr>
                              <w:tc>
                                <w:tcPr>
                                  <w:tcW w:w="2044" w:type="dxa"/>
                                  <w:tcBorders>
                                    <w:top w:val="single" w:sz="4" w:space="0" w:color="auto"/>
                                    <w:left w:val="single" w:sz="4" w:space="0" w:color="auto"/>
                                    <w:bottom w:val="single" w:sz="4" w:space="0" w:color="auto"/>
                                    <w:right w:val="single" w:sz="4" w:space="0" w:color="auto"/>
                                  </w:tcBorders>
                                  <w:shd w:val="clear" w:color="000000" w:fill="D9D9D9"/>
                                  <w:noWrap/>
                                  <w:hideMark/>
                                </w:tcPr>
                                <w:p w14:paraId="5A3EE9F9" w14:textId="77777777" w:rsidR="00620449" w:rsidRPr="00DE22A6" w:rsidRDefault="00620449" w:rsidP="00740FF9">
                                  <w:pPr>
                                    <w:spacing w:after="0" w:line="240" w:lineRule="auto"/>
                                    <w:jc w:val="center"/>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Progress 8 trends</w:t>
                                  </w:r>
                                </w:p>
                              </w:tc>
                              <w:tc>
                                <w:tcPr>
                                  <w:tcW w:w="1418" w:type="dxa"/>
                                  <w:tcBorders>
                                    <w:top w:val="single" w:sz="4" w:space="0" w:color="auto"/>
                                    <w:left w:val="nil"/>
                                    <w:bottom w:val="single" w:sz="4" w:space="0" w:color="auto"/>
                                    <w:right w:val="single" w:sz="4" w:space="0" w:color="auto"/>
                                  </w:tcBorders>
                                  <w:shd w:val="clear" w:color="000000" w:fill="D9D9D9"/>
                                  <w:hideMark/>
                                </w:tcPr>
                                <w:p w14:paraId="3AA2D990" w14:textId="77777777" w:rsidR="00620449" w:rsidRPr="00DE22A6" w:rsidRDefault="00620449" w:rsidP="00740FF9">
                                  <w:pPr>
                                    <w:spacing w:after="0" w:line="240" w:lineRule="auto"/>
                                    <w:jc w:val="center"/>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 xml:space="preserve">2016-17 </w:t>
                                  </w:r>
                                  <w:r w:rsidRPr="00DE22A6">
                                    <w:rPr>
                                      <w:rFonts w:ascii="Calibri" w:eastAsia="Times New Roman" w:hAnsi="Calibri" w:cs="Calibri"/>
                                      <w:b/>
                                      <w:bCs/>
                                      <w:color w:val="000000"/>
                                      <w:lang w:eastAsia="en-GB"/>
                                    </w:rPr>
                                    <w:br/>
                                  </w:r>
                                  <w:r w:rsidRPr="00DE22A6">
                                    <w:rPr>
                                      <w:rFonts w:ascii="Calibri" w:eastAsia="Times New Roman" w:hAnsi="Calibri" w:cs="Calibri"/>
                                      <w:b/>
                                      <w:bCs/>
                                      <w:color w:val="000000"/>
                                      <w:sz w:val="18"/>
                                      <w:szCs w:val="18"/>
                                      <w:lang w:eastAsia="en-GB"/>
                                    </w:rPr>
                                    <w:t>(actual results)</w:t>
                                  </w:r>
                                </w:p>
                              </w:tc>
                              <w:tc>
                                <w:tcPr>
                                  <w:tcW w:w="1417" w:type="dxa"/>
                                  <w:tcBorders>
                                    <w:top w:val="single" w:sz="4" w:space="0" w:color="auto"/>
                                    <w:left w:val="nil"/>
                                    <w:bottom w:val="single" w:sz="4" w:space="0" w:color="auto"/>
                                    <w:right w:val="single" w:sz="4" w:space="0" w:color="auto"/>
                                  </w:tcBorders>
                                  <w:shd w:val="clear" w:color="000000" w:fill="D9D9D9"/>
                                  <w:hideMark/>
                                </w:tcPr>
                                <w:p w14:paraId="14813691" w14:textId="77777777" w:rsidR="00620449" w:rsidRPr="00DE22A6" w:rsidRDefault="00620449" w:rsidP="00285E9B">
                                  <w:pPr>
                                    <w:spacing w:after="0" w:line="240" w:lineRule="auto"/>
                                    <w:jc w:val="center"/>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 xml:space="preserve">2017-18 </w:t>
                                  </w:r>
                                  <w:r w:rsidRPr="00DE22A6">
                                    <w:rPr>
                                      <w:rFonts w:ascii="Calibri" w:eastAsia="Times New Roman" w:hAnsi="Calibri" w:cs="Calibri"/>
                                      <w:b/>
                                      <w:bCs/>
                                      <w:color w:val="000000"/>
                                      <w:lang w:eastAsia="en-GB"/>
                                    </w:rPr>
                                    <w:br/>
                                  </w:r>
                                  <w:r w:rsidRPr="00DE22A6">
                                    <w:rPr>
                                      <w:rFonts w:ascii="Calibri" w:eastAsia="Times New Roman" w:hAnsi="Calibri" w:cs="Calibri"/>
                                      <w:b/>
                                      <w:bCs/>
                                      <w:color w:val="000000"/>
                                      <w:sz w:val="18"/>
                                      <w:szCs w:val="18"/>
                                      <w:lang w:eastAsia="en-GB"/>
                                    </w:rPr>
                                    <w:t>(</w:t>
                                  </w:r>
                                  <w:r>
                                    <w:rPr>
                                      <w:rFonts w:ascii="Calibri" w:eastAsia="Times New Roman" w:hAnsi="Calibri" w:cs="Calibri"/>
                                      <w:b/>
                                      <w:bCs/>
                                      <w:color w:val="000000"/>
                                      <w:sz w:val="18"/>
                                      <w:szCs w:val="18"/>
                                      <w:lang w:eastAsia="en-GB"/>
                                    </w:rPr>
                                    <w:t>actual</w:t>
                                  </w:r>
                                  <w:r w:rsidRPr="00DE22A6">
                                    <w:rPr>
                                      <w:rFonts w:ascii="Calibri" w:eastAsia="Times New Roman" w:hAnsi="Calibri" w:cs="Calibri"/>
                                      <w:b/>
                                      <w:bCs/>
                                      <w:color w:val="000000"/>
                                      <w:sz w:val="18"/>
                                      <w:szCs w:val="18"/>
                                      <w:lang w:eastAsia="en-GB"/>
                                    </w:rPr>
                                    <w:t xml:space="preserve"> results)</w:t>
                                  </w:r>
                                </w:p>
                              </w:tc>
                              <w:tc>
                                <w:tcPr>
                                  <w:tcW w:w="1701" w:type="dxa"/>
                                  <w:tcBorders>
                                    <w:top w:val="single" w:sz="4" w:space="0" w:color="auto"/>
                                    <w:left w:val="nil"/>
                                    <w:bottom w:val="single" w:sz="4" w:space="0" w:color="auto"/>
                                    <w:right w:val="single" w:sz="4" w:space="0" w:color="auto"/>
                                  </w:tcBorders>
                                  <w:shd w:val="clear" w:color="000000" w:fill="D9D9D9"/>
                                  <w:hideMark/>
                                </w:tcPr>
                                <w:p w14:paraId="3C171691" w14:textId="77777777" w:rsidR="00620449" w:rsidRPr="00DE22A6" w:rsidRDefault="00620449" w:rsidP="002D0466">
                                  <w:pPr>
                                    <w:spacing w:after="0" w:line="240" w:lineRule="auto"/>
                                    <w:jc w:val="center"/>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 xml:space="preserve">2018-19 </w:t>
                                  </w:r>
                                  <w:r w:rsidRPr="00DE22A6">
                                    <w:rPr>
                                      <w:rFonts w:ascii="Calibri" w:eastAsia="Times New Roman" w:hAnsi="Calibri" w:cs="Calibri"/>
                                      <w:b/>
                                      <w:bCs/>
                                      <w:color w:val="000000"/>
                                      <w:lang w:eastAsia="en-GB"/>
                                    </w:rPr>
                                    <w:br/>
                                  </w:r>
                                  <w:r w:rsidRPr="00DE22A6">
                                    <w:rPr>
                                      <w:rFonts w:ascii="Calibri" w:eastAsia="Times New Roman" w:hAnsi="Calibri" w:cs="Calibri"/>
                                      <w:b/>
                                      <w:bCs/>
                                      <w:color w:val="000000"/>
                                      <w:sz w:val="18"/>
                                      <w:szCs w:val="18"/>
                                      <w:lang w:eastAsia="en-GB"/>
                                    </w:rPr>
                                    <w:t>(</w:t>
                                  </w:r>
                                  <w:r>
                                    <w:rPr>
                                      <w:rFonts w:ascii="Calibri" w:eastAsia="Times New Roman" w:hAnsi="Calibri" w:cs="Calibri"/>
                                      <w:b/>
                                      <w:bCs/>
                                      <w:color w:val="000000"/>
                                      <w:sz w:val="18"/>
                                      <w:szCs w:val="18"/>
                                      <w:lang w:eastAsia="en-GB"/>
                                    </w:rPr>
                                    <w:t>actual</w:t>
                                  </w:r>
                                  <w:r w:rsidRPr="00DE22A6">
                                    <w:rPr>
                                      <w:rFonts w:ascii="Calibri" w:eastAsia="Times New Roman" w:hAnsi="Calibri" w:cs="Calibri"/>
                                      <w:b/>
                                      <w:bCs/>
                                      <w:color w:val="000000"/>
                                      <w:sz w:val="18"/>
                                      <w:szCs w:val="18"/>
                                      <w:lang w:eastAsia="en-GB"/>
                                    </w:rPr>
                                    <w:t xml:space="preserve"> results)</w:t>
                                  </w:r>
                                </w:p>
                              </w:tc>
                            </w:tr>
                            <w:tr w:rsidR="00620449" w:rsidRPr="00DE22A6" w14:paraId="7C7A3D85" w14:textId="77777777" w:rsidTr="00664D68">
                              <w:trPr>
                                <w:trHeight w:val="293"/>
                              </w:trPr>
                              <w:tc>
                                <w:tcPr>
                                  <w:tcW w:w="2044" w:type="dxa"/>
                                  <w:tcBorders>
                                    <w:top w:val="nil"/>
                                    <w:left w:val="single" w:sz="4" w:space="0" w:color="auto"/>
                                    <w:bottom w:val="single" w:sz="4" w:space="0" w:color="auto"/>
                                    <w:right w:val="single" w:sz="4" w:space="0" w:color="auto"/>
                                  </w:tcBorders>
                                  <w:shd w:val="clear" w:color="000000" w:fill="D9D9D9"/>
                                  <w:noWrap/>
                                  <w:vAlign w:val="bottom"/>
                                  <w:hideMark/>
                                </w:tcPr>
                                <w:p w14:paraId="3C3A614C" w14:textId="77777777" w:rsidR="00620449" w:rsidRPr="00DE22A6" w:rsidRDefault="00620449" w:rsidP="002D0466">
                                  <w:pPr>
                                    <w:spacing w:after="0" w:line="240" w:lineRule="auto"/>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 xml:space="preserve">All students </w:t>
                                  </w:r>
                                </w:p>
                              </w:tc>
                              <w:tc>
                                <w:tcPr>
                                  <w:tcW w:w="1418" w:type="dxa"/>
                                  <w:tcBorders>
                                    <w:top w:val="nil"/>
                                    <w:left w:val="nil"/>
                                    <w:bottom w:val="single" w:sz="4" w:space="0" w:color="auto"/>
                                    <w:right w:val="single" w:sz="4" w:space="0" w:color="auto"/>
                                  </w:tcBorders>
                                  <w:shd w:val="clear" w:color="auto" w:fill="auto"/>
                                  <w:noWrap/>
                                  <w:vAlign w:val="bottom"/>
                                </w:tcPr>
                                <w:p w14:paraId="26B37C8C" w14:textId="77777777" w:rsidR="00620449" w:rsidRPr="00AF397B" w:rsidRDefault="00620449" w:rsidP="002D046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-0.066</w:t>
                                  </w:r>
                                </w:p>
                              </w:tc>
                              <w:tc>
                                <w:tcPr>
                                  <w:tcW w:w="1417" w:type="dxa"/>
                                  <w:tcBorders>
                                    <w:top w:val="nil"/>
                                    <w:left w:val="nil"/>
                                    <w:bottom w:val="single" w:sz="4" w:space="0" w:color="auto"/>
                                    <w:right w:val="single" w:sz="4" w:space="0" w:color="auto"/>
                                  </w:tcBorders>
                                  <w:shd w:val="clear" w:color="auto" w:fill="auto"/>
                                  <w:noWrap/>
                                  <w:vAlign w:val="bottom"/>
                                </w:tcPr>
                                <w:p w14:paraId="4EBDDBD4"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sidRPr="00D40BFE">
                                    <w:rPr>
                                      <w:rFonts w:ascii="Calibri" w:eastAsia="Times New Roman" w:hAnsi="Calibri" w:cs="Calibri"/>
                                      <w:color w:val="000000"/>
                                      <w:lang w:eastAsia="en-GB"/>
                                    </w:rPr>
                                    <w:t>-0.639</w:t>
                                  </w:r>
                                </w:p>
                              </w:tc>
                              <w:tc>
                                <w:tcPr>
                                  <w:tcW w:w="1701" w:type="dxa"/>
                                  <w:tcBorders>
                                    <w:top w:val="nil"/>
                                    <w:left w:val="nil"/>
                                    <w:bottom w:val="single" w:sz="4" w:space="0" w:color="auto"/>
                                    <w:right w:val="single" w:sz="4" w:space="0" w:color="auto"/>
                                  </w:tcBorders>
                                  <w:shd w:val="clear" w:color="auto" w:fill="auto"/>
                                  <w:noWrap/>
                                  <w:vAlign w:val="bottom"/>
                                </w:tcPr>
                                <w:p w14:paraId="64A72D1A" w14:textId="64BF85FF" w:rsidR="00620449" w:rsidRPr="00620449" w:rsidRDefault="00620449" w:rsidP="002D0466">
                                  <w:pPr>
                                    <w:spacing w:after="0" w:line="240" w:lineRule="auto"/>
                                    <w:jc w:val="center"/>
                                    <w:rPr>
                                      <w:rFonts w:ascii="Calibri" w:eastAsia="Times New Roman" w:hAnsi="Calibri" w:cs="Calibri"/>
                                      <w:color w:val="000000"/>
                                      <w:lang w:eastAsia="en-GB"/>
                                    </w:rPr>
                                  </w:pPr>
                                  <w:r w:rsidRPr="00620449">
                                    <w:rPr>
                                      <w:rFonts w:ascii="Calibri" w:eastAsia="Times New Roman" w:hAnsi="Calibri" w:cs="Calibri"/>
                                      <w:color w:val="000000"/>
                                      <w:lang w:eastAsia="en-GB"/>
                                    </w:rPr>
                                    <w:t>-0.341</w:t>
                                  </w:r>
                                </w:p>
                              </w:tc>
                            </w:tr>
                            <w:tr w:rsidR="00620449" w:rsidRPr="00DE22A6" w14:paraId="4EF2AB55" w14:textId="77777777" w:rsidTr="00664D68">
                              <w:trPr>
                                <w:trHeight w:val="293"/>
                              </w:trPr>
                              <w:tc>
                                <w:tcPr>
                                  <w:tcW w:w="2044" w:type="dxa"/>
                                  <w:tcBorders>
                                    <w:top w:val="nil"/>
                                    <w:left w:val="single" w:sz="4" w:space="0" w:color="auto"/>
                                    <w:bottom w:val="single" w:sz="4" w:space="0" w:color="auto"/>
                                    <w:right w:val="single" w:sz="4" w:space="0" w:color="auto"/>
                                  </w:tcBorders>
                                  <w:shd w:val="clear" w:color="000000" w:fill="D9D9D9"/>
                                  <w:noWrap/>
                                  <w:vAlign w:val="bottom"/>
                                  <w:hideMark/>
                                </w:tcPr>
                                <w:p w14:paraId="789719EA" w14:textId="77777777" w:rsidR="00620449" w:rsidRPr="00DE22A6" w:rsidRDefault="00620449" w:rsidP="002D0466">
                                  <w:pPr>
                                    <w:spacing w:after="0" w:line="240" w:lineRule="auto"/>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Pupil Premium</w:t>
                                  </w:r>
                                </w:p>
                              </w:tc>
                              <w:tc>
                                <w:tcPr>
                                  <w:tcW w:w="1418" w:type="dxa"/>
                                  <w:tcBorders>
                                    <w:top w:val="nil"/>
                                    <w:left w:val="nil"/>
                                    <w:bottom w:val="single" w:sz="4" w:space="0" w:color="auto"/>
                                    <w:right w:val="single" w:sz="4" w:space="0" w:color="auto"/>
                                  </w:tcBorders>
                                  <w:shd w:val="clear" w:color="auto" w:fill="auto"/>
                                  <w:noWrap/>
                                  <w:vAlign w:val="bottom"/>
                                </w:tcPr>
                                <w:p w14:paraId="57CA16EC"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Pr>
                                      <w:rFonts w:ascii="Calibri" w:eastAsia="Times New Roman" w:hAnsi="Calibri" w:cs="Calibri"/>
                                      <w:color w:val="000000"/>
                                      <w:lang w:eastAsia="en-GB"/>
                                    </w:rPr>
                                    <w:t>-0.579</w:t>
                                  </w:r>
                                </w:p>
                              </w:tc>
                              <w:tc>
                                <w:tcPr>
                                  <w:tcW w:w="1417" w:type="dxa"/>
                                  <w:tcBorders>
                                    <w:top w:val="nil"/>
                                    <w:left w:val="nil"/>
                                    <w:bottom w:val="single" w:sz="4" w:space="0" w:color="auto"/>
                                    <w:right w:val="single" w:sz="4" w:space="0" w:color="auto"/>
                                  </w:tcBorders>
                                  <w:shd w:val="clear" w:color="auto" w:fill="auto"/>
                                  <w:noWrap/>
                                  <w:vAlign w:val="bottom"/>
                                </w:tcPr>
                                <w:p w14:paraId="7EDE51BE"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sidRPr="00D40BFE">
                                    <w:rPr>
                                      <w:rFonts w:ascii="Calibri" w:eastAsia="Times New Roman" w:hAnsi="Calibri" w:cs="Calibri"/>
                                      <w:color w:val="000000"/>
                                      <w:lang w:eastAsia="en-GB"/>
                                    </w:rPr>
                                    <w:t>-0.968</w:t>
                                  </w:r>
                                </w:p>
                              </w:tc>
                              <w:tc>
                                <w:tcPr>
                                  <w:tcW w:w="1701" w:type="dxa"/>
                                  <w:tcBorders>
                                    <w:top w:val="nil"/>
                                    <w:left w:val="nil"/>
                                    <w:bottom w:val="single" w:sz="4" w:space="0" w:color="auto"/>
                                    <w:right w:val="single" w:sz="4" w:space="0" w:color="auto"/>
                                  </w:tcBorders>
                                  <w:shd w:val="clear" w:color="auto" w:fill="auto"/>
                                  <w:noWrap/>
                                  <w:vAlign w:val="bottom"/>
                                </w:tcPr>
                                <w:p w14:paraId="31F2E973" w14:textId="72FABEA8" w:rsidR="00620449" w:rsidRPr="00620449" w:rsidRDefault="00620449" w:rsidP="002D0466">
                                  <w:pPr>
                                    <w:spacing w:after="0" w:line="240" w:lineRule="auto"/>
                                    <w:jc w:val="center"/>
                                    <w:rPr>
                                      <w:rFonts w:ascii="Calibri" w:eastAsia="Times New Roman" w:hAnsi="Calibri" w:cs="Calibri"/>
                                      <w:color w:val="000000"/>
                                      <w:lang w:eastAsia="en-GB"/>
                                    </w:rPr>
                                  </w:pPr>
                                  <w:r w:rsidRPr="00620449">
                                    <w:rPr>
                                      <w:rFonts w:ascii="Calibri" w:eastAsia="Times New Roman" w:hAnsi="Calibri" w:cs="Calibri"/>
                                      <w:color w:val="000000"/>
                                      <w:lang w:eastAsia="en-GB"/>
                                    </w:rPr>
                                    <w:t>-0.590</w:t>
                                  </w:r>
                                </w:p>
                              </w:tc>
                            </w:tr>
                            <w:tr w:rsidR="00620449" w:rsidRPr="00DE22A6" w14:paraId="7905705C" w14:textId="77777777" w:rsidTr="00664D68">
                              <w:trPr>
                                <w:trHeight w:val="293"/>
                              </w:trPr>
                              <w:tc>
                                <w:tcPr>
                                  <w:tcW w:w="2044" w:type="dxa"/>
                                  <w:tcBorders>
                                    <w:top w:val="nil"/>
                                    <w:left w:val="single" w:sz="4" w:space="0" w:color="auto"/>
                                    <w:bottom w:val="single" w:sz="4" w:space="0" w:color="auto"/>
                                    <w:right w:val="single" w:sz="4" w:space="0" w:color="auto"/>
                                  </w:tcBorders>
                                  <w:shd w:val="clear" w:color="000000" w:fill="D9D9D9"/>
                                  <w:noWrap/>
                                  <w:vAlign w:val="bottom"/>
                                  <w:hideMark/>
                                </w:tcPr>
                                <w:p w14:paraId="4EA3AB74" w14:textId="77777777" w:rsidR="00620449" w:rsidRPr="00DE22A6" w:rsidRDefault="00620449" w:rsidP="002D0466">
                                  <w:pPr>
                                    <w:spacing w:after="0" w:line="240" w:lineRule="auto"/>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Non-Pupil Premium</w:t>
                                  </w:r>
                                </w:p>
                              </w:tc>
                              <w:tc>
                                <w:tcPr>
                                  <w:tcW w:w="1418" w:type="dxa"/>
                                  <w:tcBorders>
                                    <w:top w:val="nil"/>
                                    <w:left w:val="nil"/>
                                    <w:bottom w:val="single" w:sz="4" w:space="0" w:color="auto"/>
                                    <w:right w:val="single" w:sz="4" w:space="0" w:color="auto"/>
                                  </w:tcBorders>
                                  <w:shd w:val="clear" w:color="auto" w:fill="auto"/>
                                  <w:noWrap/>
                                  <w:vAlign w:val="bottom"/>
                                </w:tcPr>
                                <w:p w14:paraId="77F5573B"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sidRPr="009B192F">
                                    <w:rPr>
                                      <w:rFonts w:ascii="Calibri" w:eastAsia="Times New Roman" w:hAnsi="Calibri" w:cs="Calibri"/>
                                      <w:color w:val="000000"/>
                                      <w:lang w:eastAsia="en-GB"/>
                                    </w:rPr>
                                    <w:t>0.212</w:t>
                                  </w:r>
                                </w:p>
                              </w:tc>
                              <w:tc>
                                <w:tcPr>
                                  <w:tcW w:w="1417" w:type="dxa"/>
                                  <w:tcBorders>
                                    <w:top w:val="nil"/>
                                    <w:left w:val="nil"/>
                                    <w:bottom w:val="single" w:sz="4" w:space="0" w:color="auto"/>
                                    <w:right w:val="single" w:sz="4" w:space="0" w:color="auto"/>
                                  </w:tcBorders>
                                  <w:shd w:val="clear" w:color="auto" w:fill="auto"/>
                                  <w:noWrap/>
                                  <w:vAlign w:val="bottom"/>
                                </w:tcPr>
                                <w:p w14:paraId="1A206753"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sidRPr="00D40BFE">
                                    <w:rPr>
                                      <w:rFonts w:ascii="Calibri" w:eastAsia="Times New Roman" w:hAnsi="Calibri" w:cs="Calibri"/>
                                      <w:color w:val="000000"/>
                                      <w:lang w:eastAsia="en-GB"/>
                                    </w:rPr>
                                    <w:t>-0.470</w:t>
                                  </w:r>
                                </w:p>
                              </w:tc>
                              <w:tc>
                                <w:tcPr>
                                  <w:tcW w:w="1701" w:type="dxa"/>
                                  <w:tcBorders>
                                    <w:top w:val="nil"/>
                                    <w:left w:val="nil"/>
                                    <w:bottom w:val="single" w:sz="4" w:space="0" w:color="auto"/>
                                    <w:right w:val="single" w:sz="4" w:space="0" w:color="auto"/>
                                  </w:tcBorders>
                                  <w:shd w:val="clear" w:color="auto" w:fill="auto"/>
                                  <w:noWrap/>
                                  <w:vAlign w:val="bottom"/>
                                </w:tcPr>
                                <w:p w14:paraId="68289C6A" w14:textId="2D8800A0" w:rsidR="00620449" w:rsidRPr="00620449" w:rsidRDefault="00620449" w:rsidP="002D0466">
                                  <w:pPr>
                                    <w:spacing w:after="0" w:line="240" w:lineRule="auto"/>
                                    <w:jc w:val="center"/>
                                    <w:rPr>
                                      <w:rFonts w:ascii="Calibri" w:eastAsia="Times New Roman" w:hAnsi="Calibri" w:cs="Calibri"/>
                                      <w:color w:val="000000"/>
                                      <w:lang w:eastAsia="en-GB"/>
                                    </w:rPr>
                                  </w:pPr>
                                  <w:r w:rsidRPr="00620449">
                                    <w:rPr>
                                      <w:rFonts w:ascii="Calibri" w:eastAsia="Times New Roman" w:hAnsi="Calibri" w:cs="Calibri"/>
                                      <w:color w:val="000000"/>
                                      <w:lang w:eastAsia="en-GB"/>
                                    </w:rPr>
                                    <w:t>-0.228</w:t>
                                  </w:r>
                                </w:p>
                              </w:tc>
                            </w:tr>
                            <w:tr w:rsidR="00620449" w:rsidRPr="004F583D" w14:paraId="2B8732AB" w14:textId="77777777" w:rsidTr="00664D68">
                              <w:trPr>
                                <w:trHeight w:val="293"/>
                              </w:trPr>
                              <w:tc>
                                <w:tcPr>
                                  <w:tcW w:w="2044" w:type="dxa"/>
                                  <w:tcBorders>
                                    <w:top w:val="nil"/>
                                    <w:left w:val="single" w:sz="4" w:space="0" w:color="auto"/>
                                    <w:bottom w:val="single" w:sz="4" w:space="0" w:color="auto"/>
                                    <w:right w:val="single" w:sz="4" w:space="0" w:color="auto"/>
                                  </w:tcBorders>
                                  <w:shd w:val="clear" w:color="000000" w:fill="D9D9D9"/>
                                  <w:noWrap/>
                                  <w:vAlign w:val="bottom"/>
                                  <w:hideMark/>
                                </w:tcPr>
                                <w:p w14:paraId="60B4822A" w14:textId="77777777" w:rsidR="00620449" w:rsidRPr="00DE22A6" w:rsidRDefault="00620449" w:rsidP="002D0466">
                                  <w:pPr>
                                    <w:spacing w:after="0" w:line="240" w:lineRule="auto"/>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Gap (PP v nPP)</w:t>
                                  </w:r>
                                </w:p>
                              </w:tc>
                              <w:tc>
                                <w:tcPr>
                                  <w:tcW w:w="1418" w:type="dxa"/>
                                  <w:tcBorders>
                                    <w:top w:val="nil"/>
                                    <w:left w:val="nil"/>
                                    <w:bottom w:val="single" w:sz="4" w:space="0" w:color="auto"/>
                                    <w:right w:val="single" w:sz="4" w:space="0" w:color="auto"/>
                                  </w:tcBorders>
                                  <w:shd w:val="clear" w:color="auto" w:fill="auto"/>
                                  <w:noWrap/>
                                  <w:vAlign w:val="bottom"/>
                                </w:tcPr>
                                <w:p w14:paraId="07F27222" w14:textId="77777777" w:rsidR="00620449" w:rsidRPr="00AF397B" w:rsidRDefault="00620449" w:rsidP="002D0466">
                                  <w:pPr>
                                    <w:spacing w:after="0" w:line="240" w:lineRule="auto"/>
                                    <w:jc w:val="center"/>
                                    <w:rPr>
                                      <w:rFonts w:ascii="Calibri" w:eastAsia="Times New Roman" w:hAnsi="Calibri" w:cs="Calibri"/>
                                      <w:highlight w:val="yellow"/>
                                      <w:lang w:eastAsia="en-GB"/>
                                    </w:rPr>
                                  </w:pPr>
                                  <w:r w:rsidRPr="009B192F">
                                    <w:rPr>
                                      <w:rFonts w:ascii="Calibri" w:eastAsia="Times New Roman" w:hAnsi="Calibri" w:cs="Calibri"/>
                                      <w:lang w:eastAsia="en-GB"/>
                                    </w:rPr>
                                    <w:t>0.791</w:t>
                                  </w:r>
                                </w:p>
                              </w:tc>
                              <w:tc>
                                <w:tcPr>
                                  <w:tcW w:w="1417" w:type="dxa"/>
                                  <w:tcBorders>
                                    <w:top w:val="nil"/>
                                    <w:left w:val="nil"/>
                                    <w:bottom w:val="single" w:sz="4" w:space="0" w:color="auto"/>
                                    <w:right w:val="single" w:sz="4" w:space="0" w:color="auto"/>
                                  </w:tcBorders>
                                  <w:shd w:val="clear" w:color="auto" w:fill="auto"/>
                                  <w:noWrap/>
                                  <w:vAlign w:val="bottom"/>
                                </w:tcPr>
                                <w:p w14:paraId="7B1132E7" w14:textId="77777777" w:rsidR="00620449" w:rsidRPr="00AF397B" w:rsidRDefault="00620449" w:rsidP="002D0466">
                                  <w:pPr>
                                    <w:spacing w:after="0" w:line="240" w:lineRule="auto"/>
                                    <w:jc w:val="center"/>
                                    <w:rPr>
                                      <w:rFonts w:ascii="Calibri" w:eastAsia="Times New Roman" w:hAnsi="Calibri" w:cs="Calibri"/>
                                      <w:highlight w:val="yellow"/>
                                      <w:lang w:eastAsia="en-GB"/>
                                    </w:rPr>
                                  </w:pPr>
                                  <w:r w:rsidRPr="00D40BFE">
                                    <w:rPr>
                                      <w:rFonts w:ascii="Calibri" w:eastAsia="Times New Roman" w:hAnsi="Calibri" w:cs="Calibri"/>
                                      <w:lang w:eastAsia="en-GB"/>
                                    </w:rPr>
                                    <w:t>0.498</w:t>
                                  </w:r>
                                </w:p>
                              </w:tc>
                              <w:tc>
                                <w:tcPr>
                                  <w:tcW w:w="1701" w:type="dxa"/>
                                  <w:tcBorders>
                                    <w:top w:val="nil"/>
                                    <w:left w:val="nil"/>
                                    <w:bottom w:val="single" w:sz="4" w:space="0" w:color="auto"/>
                                    <w:right w:val="single" w:sz="4" w:space="0" w:color="auto"/>
                                  </w:tcBorders>
                                  <w:shd w:val="clear" w:color="auto" w:fill="auto"/>
                                  <w:noWrap/>
                                  <w:vAlign w:val="bottom"/>
                                </w:tcPr>
                                <w:p w14:paraId="5DDABCBB" w14:textId="49B2E153" w:rsidR="00620449" w:rsidRPr="00620449" w:rsidRDefault="00620449" w:rsidP="002D0466">
                                  <w:pPr>
                                    <w:spacing w:after="0" w:line="240" w:lineRule="auto"/>
                                    <w:jc w:val="center"/>
                                    <w:rPr>
                                      <w:rFonts w:ascii="Calibri" w:eastAsia="Times New Roman" w:hAnsi="Calibri" w:cs="Calibri"/>
                                      <w:lang w:eastAsia="en-GB"/>
                                    </w:rPr>
                                  </w:pPr>
                                  <w:r w:rsidRPr="00620449">
                                    <w:rPr>
                                      <w:rFonts w:ascii="Calibri" w:eastAsia="Times New Roman" w:hAnsi="Calibri" w:cs="Calibri"/>
                                      <w:lang w:eastAsia="en-GB"/>
                                    </w:rPr>
                                    <w:t>0.362</w:t>
                                  </w:r>
                                </w:p>
                              </w:tc>
                            </w:tr>
                          </w:tbl>
                          <w:p w14:paraId="7CAF90B3" w14:textId="77777777" w:rsidR="00620449" w:rsidRDefault="00620449"/>
                          <w:p w14:paraId="764F2746" w14:textId="77777777" w:rsidR="00620449" w:rsidRDefault="00620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9F773" id="_x0000_t202" coordsize="21600,21600" o:spt="202" path="m,l,21600r21600,l21600,xe">
                <v:stroke joinstyle="miter"/>
                <v:path gradientshapeok="t" o:connecttype="rect"/>
              </v:shapetype>
              <v:shape id="Text Box 2" o:spid="_x0000_s1027" type="#_x0000_t202" style="position:absolute;margin-left:291.1pt;margin-top:21.05pt;width:489.75pt;height:166.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" stroked="f">
                <v:textbox>
                  <w:txbxContent>
                    <w:p w14:paraId="3106502F" w14:textId="77777777" w:rsidR="00620449" w:rsidRPr="00BE0B79" w:rsidRDefault="00620449">
                      <w:pPr>
                        <w:rPr>
                          <w:b/>
                        </w:rPr>
                      </w:pPr>
                      <w:r w:rsidRPr="00BE0B79">
                        <w:rPr>
                          <w:b/>
                        </w:rPr>
                        <w:t>Progress 8 results &amp; predictions:</w:t>
                      </w:r>
                    </w:p>
                    <w:tbl>
                      <w:tblPr>
                        <w:tblW w:w="6580" w:type="dxa"/>
                        <w:tblLook w:val="04A0" w:firstRow="1" w:lastRow="0" w:firstColumn="1" w:lastColumn="0" w:noHBand="0" w:noVBand="1"/>
                      </w:tblPr>
                      <w:tblGrid>
                        <w:gridCol w:w="2044"/>
                        <w:gridCol w:w="1418"/>
                        <w:gridCol w:w="1417"/>
                        <w:gridCol w:w="1701"/>
                      </w:tblGrid>
                      <w:tr w:rsidR="00620449" w:rsidRPr="00DE22A6" w14:paraId="5CC993DD" w14:textId="77777777" w:rsidTr="00664D68">
                        <w:trPr>
                          <w:trHeight w:val="533"/>
                        </w:trPr>
                        <w:tc>
                          <w:tcPr>
                            <w:tcW w:w="2044" w:type="dxa"/>
                            <w:tcBorders>
                              <w:top w:val="single" w:sz="4" w:space="0" w:color="auto"/>
                              <w:left w:val="single" w:sz="4" w:space="0" w:color="auto"/>
                              <w:bottom w:val="single" w:sz="4" w:space="0" w:color="auto"/>
                              <w:right w:val="single" w:sz="4" w:space="0" w:color="auto"/>
                            </w:tcBorders>
                            <w:shd w:val="clear" w:color="000000" w:fill="D9D9D9"/>
                            <w:noWrap/>
                            <w:hideMark/>
                          </w:tcPr>
                          <w:p w14:paraId="5A3EE9F9" w14:textId="77777777" w:rsidR="00620449" w:rsidRPr="00DE22A6" w:rsidRDefault="00620449" w:rsidP="00740FF9">
                            <w:pPr>
                              <w:spacing w:after="0" w:line="240" w:lineRule="auto"/>
                              <w:jc w:val="center"/>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Progress 8 trends</w:t>
                            </w:r>
                          </w:p>
                        </w:tc>
                        <w:tc>
                          <w:tcPr>
                            <w:tcW w:w="1418" w:type="dxa"/>
                            <w:tcBorders>
                              <w:top w:val="single" w:sz="4" w:space="0" w:color="auto"/>
                              <w:left w:val="nil"/>
                              <w:bottom w:val="single" w:sz="4" w:space="0" w:color="auto"/>
                              <w:right w:val="single" w:sz="4" w:space="0" w:color="auto"/>
                            </w:tcBorders>
                            <w:shd w:val="clear" w:color="000000" w:fill="D9D9D9"/>
                            <w:hideMark/>
                          </w:tcPr>
                          <w:p w14:paraId="3AA2D990" w14:textId="77777777" w:rsidR="00620449" w:rsidRPr="00DE22A6" w:rsidRDefault="00620449" w:rsidP="00740FF9">
                            <w:pPr>
                              <w:spacing w:after="0" w:line="240" w:lineRule="auto"/>
                              <w:jc w:val="center"/>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 xml:space="preserve">2016-17 </w:t>
                            </w:r>
                            <w:r w:rsidRPr="00DE22A6">
                              <w:rPr>
                                <w:rFonts w:ascii="Calibri" w:eastAsia="Times New Roman" w:hAnsi="Calibri" w:cs="Calibri"/>
                                <w:b/>
                                <w:bCs/>
                                <w:color w:val="000000"/>
                                <w:lang w:eastAsia="en-GB"/>
                              </w:rPr>
                              <w:br/>
                            </w:r>
                            <w:r w:rsidRPr="00DE22A6">
                              <w:rPr>
                                <w:rFonts w:ascii="Calibri" w:eastAsia="Times New Roman" w:hAnsi="Calibri" w:cs="Calibri"/>
                                <w:b/>
                                <w:bCs/>
                                <w:color w:val="000000"/>
                                <w:sz w:val="18"/>
                                <w:szCs w:val="18"/>
                                <w:lang w:eastAsia="en-GB"/>
                              </w:rPr>
                              <w:t>(actual results)</w:t>
                            </w:r>
                          </w:p>
                        </w:tc>
                        <w:tc>
                          <w:tcPr>
                            <w:tcW w:w="1417" w:type="dxa"/>
                            <w:tcBorders>
                              <w:top w:val="single" w:sz="4" w:space="0" w:color="auto"/>
                              <w:left w:val="nil"/>
                              <w:bottom w:val="single" w:sz="4" w:space="0" w:color="auto"/>
                              <w:right w:val="single" w:sz="4" w:space="0" w:color="auto"/>
                            </w:tcBorders>
                            <w:shd w:val="clear" w:color="000000" w:fill="D9D9D9"/>
                            <w:hideMark/>
                          </w:tcPr>
                          <w:p w14:paraId="14813691" w14:textId="77777777" w:rsidR="00620449" w:rsidRPr="00DE22A6" w:rsidRDefault="00620449" w:rsidP="00285E9B">
                            <w:pPr>
                              <w:spacing w:after="0" w:line="240" w:lineRule="auto"/>
                              <w:jc w:val="center"/>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 xml:space="preserve">2017-18 </w:t>
                            </w:r>
                            <w:r w:rsidRPr="00DE22A6">
                              <w:rPr>
                                <w:rFonts w:ascii="Calibri" w:eastAsia="Times New Roman" w:hAnsi="Calibri" w:cs="Calibri"/>
                                <w:b/>
                                <w:bCs/>
                                <w:color w:val="000000"/>
                                <w:lang w:eastAsia="en-GB"/>
                              </w:rPr>
                              <w:br/>
                            </w:r>
                            <w:r w:rsidRPr="00DE22A6">
                              <w:rPr>
                                <w:rFonts w:ascii="Calibri" w:eastAsia="Times New Roman" w:hAnsi="Calibri" w:cs="Calibri"/>
                                <w:b/>
                                <w:bCs/>
                                <w:color w:val="000000"/>
                                <w:sz w:val="18"/>
                                <w:szCs w:val="18"/>
                                <w:lang w:eastAsia="en-GB"/>
                              </w:rPr>
                              <w:t>(</w:t>
                            </w:r>
                            <w:r>
                              <w:rPr>
                                <w:rFonts w:ascii="Calibri" w:eastAsia="Times New Roman" w:hAnsi="Calibri" w:cs="Calibri"/>
                                <w:b/>
                                <w:bCs/>
                                <w:color w:val="000000"/>
                                <w:sz w:val="18"/>
                                <w:szCs w:val="18"/>
                                <w:lang w:eastAsia="en-GB"/>
                              </w:rPr>
                              <w:t>actual</w:t>
                            </w:r>
                            <w:r w:rsidRPr="00DE22A6">
                              <w:rPr>
                                <w:rFonts w:ascii="Calibri" w:eastAsia="Times New Roman" w:hAnsi="Calibri" w:cs="Calibri"/>
                                <w:b/>
                                <w:bCs/>
                                <w:color w:val="000000"/>
                                <w:sz w:val="18"/>
                                <w:szCs w:val="18"/>
                                <w:lang w:eastAsia="en-GB"/>
                              </w:rPr>
                              <w:t xml:space="preserve"> results)</w:t>
                            </w:r>
                          </w:p>
                        </w:tc>
                        <w:tc>
                          <w:tcPr>
                            <w:tcW w:w="1701" w:type="dxa"/>
                            <w:tcBorders>
                              <w:top w:val="single" w:sz="4" w:space="0" w:color="auto"/>
                              <w:left w:val="nil"/>
                              <w:bottom w:val="single" w:sz="4" w:space="0" w:color="auto"/>
                              <w:right w:val="single" w:sz="4" w:space="0" w:color="auto"/>
                            </w:tcBorders>
                            <w:shd w:val="clear" w:color="000000" w:fill="D9D9D9"/>
                            <w:hideMark/>
                          </w:tcPr>
                          <w:p w14:paraId="3C171691" w14:textId="77777777" w:rsidR="00620449" w:rsidRPr="00DE22A6" w:rsidRDefault="00620449" w:rsidP="002D0466">
                            <w:pPr>
                              <w:spacing w:after="0" w:line="240" w:lineRule="auto"/>
                              <w:jc w:val="center"/>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 xml:space="preserve">2018-19 </w:t>
                            </w:r>
                            <w:r w:rsidRPr="00DE22A6">
                              <w:rPr>
                                <w:rFonts w:ascii="Calibri" w:eastAsia="Times New Roman" w:hAnsi="Calibri" w:cs="Calibri"/>
                                <w:b/>
                                <w:bCs/>
                                <w:color w:val="000000"/>
                                <w:lang w:eastAsia="en-GB"/>
                              </w:rPr>
                              <w:br/>
                            </w:r>
                            <w:r w:rsidRPr="00DE22A6">
                              <w:rPr>
                                <w:rFonts w:ascii="Calibri" w:eastAsia="Times New Roman" w:hAnsi="Calibri" w:cs="Calibri"/>
                                <w:b/>
                                <w:bCs/>
                                <w:color w:val="000000"/>
                                <w:sz w:val="18"/>
                                <w:szCs w:val="18"/>
                                <w:lang w:eastAsia="en-GB"/>
                              </w:rPr>
                              <w:t>(</w:t>
                            </w:r>
                            <w:r>
                              <w:rPr>
                                <w:rFonts w:ascii="Calibri" w:eastAsia="Times New Roman" w:hAnsi="Calibri" w:cs="Calibri"/>
                                <w:b/>
                                <w:bCs/>
                                <w:color w:val="000000"/>
                                <w:sz w:val="18"/>
                                <w:szCs w:val="18"/>
                                <w:lang w:eastAsia="en-GB"/>
                              </w:rPr>
                              <w:t>actual</w:t>
                            </w:r>
                            <w:r w:rsidRPr="00DE22A6">
                              <w:rPr>
                                <w:rFonts w:ascii="Calibri" w:eastAsia="Times New Roman" w:hAnsi="Calibri" w:cs="Calibri"/>
                                <w:b/>
                                <w:bCs/>
                                <w:color w:val="000000"/>
                                <w:sz w:val="18"/>
                                <w:szCs w:val="18"/>
                                <w:lang w:eastAsia="en-GB"/>
                              </w:rPr>
                              <w:t xml:space="preserve"> results)</w:t>
                            </w:r>
                          </w:p>
                        </w:tc>
                      </w:tr>
                      <w:tr w:rsidR="00620449" w:rsidRPr="00DE22A6" w14:paraId="7C7A3D85" w14:textId="77777777" w:rsidTr="00664D68">
                        <w:trPr>
                          <w:trHeight w:val="293"/>
                        </w:trPr>
                        <w:tc>
                          <w:tcPr>
                            <w:tcW w:w="2044" w:type="dxa"/>
                            <w:tcBorders>
                              <w:top w:val="nil"/>
                              <w:left w:val="single" w:sz="4" w:space="0" w:color="auto"/>
                              <w:bottom w:val="single" w:sz="4" w:space="0" w:color="auto"/>
                              <w:right w:val="single" w:sz="4" w:space="0" w:color="auto"/>
                            </w:tcBorders>
                            <w:shd w:val="clear" w:color="000000" w:fill="D9D9D9"/>
                            <w:noWrap/>
                            <w:vAlign w:val="bottom"/>
                            <w:hideMark/>
                          </w:tcPr>
                          <w:p w14:paraId="3C3A614C" w14:textId="77777777" w:rsidR="00620449" w:rsidRPr="00DE22A6" w:rsidRDefault="00620449" w:rsidP="002D0466">
                            <w:pPr>
                              <w:spacing w:after="0" w:line="240" w:lineRule="auto"/>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 xml:space="preserve">All students </w:t>
                            </w:r>
                          </w:p>
                        </w:tc>
                        <w:tc>
                          <w:tcPr>
                            <w:tcW w:w="1418" w:type="dxa"/>
                            <w:tcBorders>
                              <w:top w:val="nil"/>
                              <w:left w:val="nil"/>
                              <w:bottom w:val="single" w:sz="4" w:space="0" w:color="auto"/>
                              <w:right w:val="single" w:sz="4" w:space="0" w:color="auto"/>
                            </w:tcBorders>
                            <w:shd w:val="clear" w:color="auto" w:fill="auto"/>
                            <w:noWrap/>
                            <w:vAlign w:val="bottom"/>
                          </w:tcPr>
                          <w:p w14:paraId="26B37C8C" w14:textId="77777777" w:rsidR="00620449" w:rsidRPr="00AF397B" w:rsidRDefault="00620449" w:rsidP="002D046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-0.066</w:t>
                            </w:r>
                          </w:p>
                        </w:tc>
                        <w:tc>
                          <w:tcPr>
                            <w:tcW w:w="1417" w:type="dxa"/>
                            <w:tcBorders>
                              <w:top w:val="nil"/>
                              <w:left w:val="nil"/>
                              <w:bottom w:val="single" w:sz="4" w:space="0" w:color="auto"/>
                              <w:right w:val="single" w:sz="4" w:space="0" w:color="auto"/>
                            </w:tcBorders>
                            <w:shd w:val="clear" w:color="auto" w:fill="auto"/>
                            <w:noWrap/>
                            <w:vAlign w:val="bottom"/>
                          </w:tcPr>
                          <w:p w14:paraId="4EBDDBD4"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sidRPr="00D40BFE">
                              <w:rPr>
                                <w:rFonts w:ascii="Calibri" w:eastAsia="Times New Roman" w:hAnsi="Calibri" w:cs="Calibri"/>
                                <w:color w:val="000000"/>
                                <w:lang w:eastAsia="en-GB"/>
                              </w:rPr>
                              <w:t>-0.639</w:t>
                            </w:r>
                          </w:p>
                        </w:tc>
                        <w:tc>
                          <w:tcPr>
                            <w:tcW w:w="1701" w:type="dxa"/>
                            <w:tcBorders>
                              <w:top w:val="nil"/>
                              <w:left w:val="nil"/>
                              <w:bottom w:val="single" w:sz="4" w:space="0" w:color="auto"/>
                              <w:right w:val="single" w:sz="4" w:space="0" w:color="auto"/>
                            </w:tcBorders>
                            <w:shd w:val="clear" w:color="auto" w:fill="auto"/>
                            <w:noWrap/>
                            <w:vAlign w:val="bottom"/>
                          </w:tcPr>
                          <w:p w14:paraId="64A72D1A" w14:textId="64BF85FF" w:rsidR="00620449" w:rsidRPr="00620449" w:rsidRDefault="00620449" w:rsidP="002D0466">
                            <w:pPr>
                              <w:spacing w:after="0" w:line="240" w:lineRule="auto"/>
                              <w:jc w:val="center"/>
                              <w:rPr>
                                <w:rFonts w:ascii="Calibri" w:eastAsia="Times New Roman" w:hAnsi="Calibri" w:cs="Calibri"/>
                                <w:color w:val="000000"/>
                                <w:lang w:eastAsia="en-GB"/>
                              </w:rPr>
                            </w:pPr>
                            <w:r w:rsidRPr="00620449">
                              <w:rPr>
                                <w:rFonts w:ascii="Calibri" w:eastAsia="Times New Roman" w:hAnsi="Calibri" w:cs="Calibri"/>
                                <w:color w:val="000000"/>
                                <w:lang w:eastAsia="en-GB"/>
                              </w:rPr>
                              <w:t>-0.341</w:t>
                            </w:r>
                          </w:p>
                        </w:tc>
                      </w:tr>
                      <w:tr w:rsidR="00620449" w:rsidRPr="00DE22A6" w14:paraId="4EF2AB55" w14:textId="77777777" w:rsidTr="00664D68">
                        <w:trPr>
                          <w:trHeight w:val="293"/>
                        </w:trPr>
                        <w:tc>
                          <w:tcPr>
                            <w:tcW w:w="2044" w:type="dxa"/>
                            <w:tcBorders>
                              <w:top w:val="nil"/>
                              <w:left w:val="single" w:sz="4" w:space="0" w:color="auto"/>
                              <w:bottom w:val="single" w:sz="4" w:space="0" w:color="auto"/>
                              <w:right w:val="single" w:sz="4" w:space="0" w:color="auto"/>
                            </w:tcBorders>
                            <w:shd w:val="clear" w:color="000000" w:fill="D9D9D9"/>
                            <w:noWrap/>
                            <w:vAlign w:val="bottom"/>
                            <w:hideMark/>
                          </w:tcPr>
                          <w:p w14:paraId="789719EA" w14:textId="77777777" w:rsidR="00620449" w:rsidRPr="00DE22A6" w:rsidRDefault="00620449" w:rsidP="002D0466">
                            <w:pPr>
                              <w:spacing w:after="0" w:line="240" w:lineRule="auto"/>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Pupil Premium</w:t>
                            </w:r>
                          </w:p>
                        </w:tc>
                        <w:tc>
                          <w:tcPr>
                            <w:tcW w:w="1418" w:type="dxa"/>
                            <w:tcBorders>
                              <w:top w:val="nil"/>
                              <w:left w:val="nil"/>
                              <w:bottom w:val="single" w:sz="4" w:space="0" w:color="auto"/>
                              <w:right w:val="single" w:sz="4" w:space="0" w:color="auto"/>
                            </w:tcBorders>
                            <w:shd w:val="clear" w:color="auto" w:fill="auto"/>
                            <w:noWrap/>
                            <w:vAlign w:val="bottom"/>
                          </w:tcPr>
                          <w:p w14:paraId="57CA16EC"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Pr>
                                <w:rFonts w:ascii="Calibri" w:eastAsia="Times New Roman" w:hAnsi="Calibri" w:cs="Calibri"/>
                                <w:color w:val="000000"/>
                                <w:lang w:eastAsia="en-GB"/>
                              </w:rPr>
                              <w:t>-0.579</w:t>
                            </w:r>
                          </w:p>
                        </w:tc>
                        <w:tc>
                          <w:tcPr>
                            <w:tcW w:w="1417" w:type="dxa"/>
                            <w:tcBorders>
                              <w:top w:val="nil"/>
                              <w:left w:val="nil"/>
                              <w:bottom w:val="single" w:sz="4" w:space="0" w:color="auto"/>
                              <w:right w:val="single" w:sz="4" w:space="0" w:color="auto"/>
                            </w:tcBorders>
                            <w:shd w:val="clear" w:color="auto" w:fill="auto"/>
                            <w:noWrap/>
                            <w:vAlign w:val="bottom"/>
                          </w:tcPr>
                          <w:p w14:paraId="7EDE51BE"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sidRPr="00D40BFE">
                              <w:rPr>
                                <w:rFonts w:ascii="Calibri" w:eastAsia="Times New Roman" w:hAnsi="Calibri" w:cs="Calibri"/>
                                <w:color w:val="000000"/>
                                <w:lang w:eastAsia="en-GB"/>
                              </w:rPr>
                              <w:t>-0.968</w:t>
                            </w:r>
                          </w:p>
                        </w:tc>
                        <w:tc>
                          <w:tcPr>
                            <w:tcW w:w="1701" w:type="dxa"/>
                            <w:tcBorders>
                              <w:top w:val="nil"/>
                              <w:left w:val="nil"/>
                              <w:bottom w:val="single" w:sz="4" w:space="0" w:color="auto"/>
                              <w:right w:val="single" w:sz="4" w:space="0" w:color="auto"/>
                            </w:tcBorders>
                            <w:shd w:val="clear" w:color="auto" w:fill="auto"/>
                            <w:noWrap/>
                            <w:vAlign w:val="bottom"/>
                          </w:tcPr>
                          <w:p w14:paraId="31F2E973" w14:textId="72FABEA8" w:rsidR="00620449" w:rsidRPr="00620449" w:rsidRDefault="00620449" w:rsidP="002D0466">
                            <w:pPr>
                              <w:spacing w:after="0" w:line="240" w:lineRule="auto"/>
                              <w:jc w:val="center"/>
                              <w:rPr>
                                <w:rFonts w:ascii="Calibri" w:eastAsia="Times New Roman" w:hAnsi="Calibri" w:cs="Calibri"/>
                                <w:color w:val="000000"/>
                                <w:lang w:eastAsia="en-GB"/>
                              </w:rPr>
                            </w:pPr>
                            <w:r w:rsidRPr="00620449">
                              <w:rPr>
                                <w:rFonts w:ascii="Calibri" w:eastAsia="Times New Roman" w:hAnsi="Calibri" w:cs="Calibri"/>
                                <w:color w:val="000000"/>
                                <w:lang w:eastAsia="en-GB"/>
                              </w:rPr>
                              <w:t>-0.590</w:t>
                            </w:r>
                          </w:p>
                        </w:tc>
                      </w:tr>
                      <w:tr w:rsidR="00620449" w:rsidRPr="00DE22A6" w14:paraId="7905705C" w14:textId="77777777" w:rsidTr="00664D68">
                        <w:trPr>
                          <w:trHeight w:val="293"/>
                        </w:trPr>
                        <w:tc>
                          <w:tcPr>
                            <w:tcW w:w="2044" w:type="dxa"/>
                            <w:tcBorders>
                              <w:top w:val="nil"/>
                              <w:left w:val="single" w:sz="4" w:space="0" w:color="auto"/>
                              <w:bottom w:val="single" w:sz="4" w:space="0" w:color="auto"/>
                              <w:right w:val="single" w:sz="4" w:space="0" w:color="auto"/>
                            </w:tcBorders>
                            <w:shd w:val="clear" w:color="000000" w:fill="D9D9D9"/>
                            <w:noWrap/>
                            <w:vAlign w:val="bottom"/>
                            <w:hideMark/>
                          </w:tcPr>
                          <w:p w14:paraId="4EA3AB74" w14:textId="77777777" w:rsidR="00620449" w:rsidRPr="00DE22A6" w:rsidRDefault="00620449" w:rsidP="002D0466">
                            <w:pPr>
                              <w:spacing w:after="0" w:line="240" w:lineRule="auto"/>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Non-Pupil Premium</w:t>
                            </w:r>
                          </w:p>
                        </w:tc>
                        <w:tc>
                          <w:tcPr>
                            <w:tcW w:w="1418" w:type="dxa"/>
                            <w:tcBorders>
                              <w:top w:val="nil"/>
                              <w:left w:val="nil"/>
                              <w:bottom w:val="single" w:sz="4" w:space="0" w:color="auto"/>
                              <w:right w:val="single" w:sz="4" w:space="0" w:color="auto"/>
                            </w:tcBorders>
                            <w:shd w:val="clear" w:color="auto" w:fill="auto"/>
                            <w:noWrap/>
                            <w:vAlign w:val="bottom"/>
                          </w:tcPr>
                          <w:p w14:paraId="77F5573B"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sidRPr="009B192F">
                              <w:rPr>
                                <w:rFonts w:ascii="Calibri" w:eastAsia="Times New Roman" w:hAnsi="Calibri" w:cs="Calibri"/>
                                <w:color w:val="000000"/>
                                <w:lang w:eastAsia="en-GB"/>
                              </w:rPr>
                              <w:t>0.212</w:t>
                            </w:r>
                          </w:p>
                        </w:tc>
                        <w:tc>
                          <w:tcPr>
                            <w:tcW w:w="1417" w:type="dxa"/>
                            <w:tcBorders>
                              <w:top w:val="nil"/>
                              <w:left w:val="nil"/>
                              <w:bottom w:val="single" w:sz="4" w:space="0" w:color="auto"/>
                              <w:right w:val="single" w:sz="4" w:space="0" w:color="auto"/>
                            </w:tcBorders>
                            <w:shd w:val="clear" w:color="auto" w:fill="auto"/>
                            <w:noWrap/>
                            <w:vAlign w:val="bottom"/>
                          </w:tcPr>
                          <w:p w14:paraId="1A206753" w14:textId="77777777" w:rsidR="00620449" w:rsidRPr="00AF397B" w:rsidRDefault="00620449" w:rsidP="002D0466">
                            <w:pPr>
                              <w:spacing w:after="0" w:line="240" w:lineRule="auto"/>
                              <w:jc w:val="center"/>
                              <w:rPr>
                                <w:rFonts w:ascii="Calibri" w:eastAsia="Times New Roman" w:hAnsi="Calibri" w:cs="Calibri"/>
                                <w:color w:val="000000"/>
                                <w:highlight w:val="yellow"/>
                                <w:lang w:eastAsia="en-GB"/>
                              </w:rPr>
                            </w:pPr>
                            <w:r w:rsidRPr="00D40BFE">
                              <w:rPr>
                                <w:rFonts w:ascii="Calibri" w:eastAsia="Times New Roman" w:hAnsi="Calibri" w:cs="Calibri"/>
                                <w:color w:val="000000"/>
                                <w:lang w:eastAsia="en-GB"/>
                              </w:rPr>
                              <w:t>-0.470</w:t>
                            </w:r>
                          </w:p>
                        </w:tc>
                        <w:tc>
                          <w:tcPr>
                            <w:tcW w:w="1701" w:type="dxa"/>
                            <w:tcBorders>
                              <w:top w:val="nil"/>
                              <w:left w:val="nil"/>
                              <w:bottom w:val="single" w:sz="4" w:space="0" w:color="auto"/>
                              <w:right w:val="single" w:sz="4" w:space="0" w:color="auto"/>
                            </w:tcBorders>
                            <w:shd w:val="clear" w:color="auto" w:fill="auto"/>
                            <w:noWrap/>
                            <w:vAlign w:val="bottom"/>
                          </w:tcPr>
                          <w:p w14:paraId="68289C6A" w14:textId="2D8800A0" w:rsidR="00620449" w:rsidRPr="00620449" w:rsidRDefault="00620449" w:rsidP="002D0466">
                            <w:pPr>
                              <w:spacing w:after="0" w:line="240" w:lineRule="auto"/>
                              <w:jc w:val="center"/>
                              <w:rPr>
                                <w:rFonts w:ascii="Calibri" w:eastAsia="Times New Roman" w:hAnsi="Calibri" w:cs="Calibri"/>
                                <w:color w:val="000000"/>
                                <w:lang w:eastAsia="en-GB"/>
                              </w:rPr>
                            </w:pPr>
                            <w:r w:rsidRPr="00620449">
                              <w:rPr>
                                <w:rFonts w:ascii="Calibri" w:eastAsia="Times New Roman" w:hAnsi="Calibri" w:cs="Calibri"/>
                                <w:color w:val="000000"/>
                                <w:lang w:eastAsia="en-GB"/>
                              </w:rPr>
                              <w:t>-0.228</w:t>
                            </w:r>
                          </w:p>
                        </w:tc>
                      </w:tr>
                      <w:tr w:rsidR="00620449" w:rsidRPr="004F583D" w14:paraId="2B8732AB" w14:textId="77777777" w:rsidTr="00664D68">
                        <w:trPr>
                          <w:trHeight w:val="293"/>
                        </w:trPr>
                        <w:tc>
                          <w:tcPr>
                            <w:tcW w:w="2044" w:type="dxa"/>
                            <w:tcBorders>
                              <w:top w:val="nil"/>
                              <w:left w:val="single" w:sz="4" w:space="0" w:color="auto"/>
                              <w:bottom w:val="single" w:sz="4" w:space="0" w:color="auto"/>
                              <w:right w:val="single" w:sz="4" w:space="0" w:color="auto"/>
                            </w:tcBorders>
                            <w:shd w:val="clear" w:color="000000" w:fill="D9D9D9"/>
                            <w:noWrap/>
                            <w:vAlign w:val="bottom"/>
                            <w:hideMark/>
                          </w:tcPr>
                          <w:p w14:paraId="60B4822A" w14:textId="77777777" w:rsidR="00620449" w:rsidRPr="00DE22A6" w:rsidRDefault="00620449" w:rsidP="002D0466">
                            <w:pPr>
                              <w:spacing w:after="0" w:line="240" w:lineRule="auto"/>
                              <w:rPr>
                                <w:rFonts w:ascii="Calibri" w:eastAsia="Times New Roman" w:hAnsi="Calibri" w:cs="Calibri"/>
                                <w:b/>
                                <w:bCs/>
                                <w:color w:val="000000"/>
                                <w:lang w:eastAsia="en-GB"/>
                              </w:rPr>
                            </w:pPr>
                            <w:r w:rsidRPr="00DE22A6">
                              <w:rPr>
                                <w:rFonts w:ascii="Calibri" w:eastAsia="Times New Roman" w:hAnsi="Calibri" w:cs="Calibri"/>
                                <w:b/>
                                <w:bCs/>
                                <w:color w:val="000000"/>
                                <w:lang w:eastAsia="en-GB"/>
                              </w:rPr>
                              <w:t>Gap (PP v nPP)</w:t>
                            </w:r>
                          </w:p>
                        </w:tc>
                        <w:tc>
                          <w:tcPr>
                            <w:tcW w:w="1418" w:type="dxa"/>
                            <w:tcBorders>
                              <w:top w:val="nil"/>
                              <w:left w:val="nil"/>
                              <w:bottom w:val="single" w:sz="4" w:space="0" w:color="auto"/>
                              <w:right w:val="single" w:sz="4" w:space="0" w:color="auto"/>
                            </w:tcBorders>
                            <w:shd w:val="clear" w:color="auto" w:fill="auto"/>
                            <w:noWrap/>
                            <w:vAlign w:val="bottom"/>
                          </w:tcPr>
                          <w:p w14:paraId="07F27222" w14:textId="77777777" w:rsidR="00620449" w:rsidRPr="00AF397B" w:rsidRDefault="00620449" w:rsidP="002D0466">
                            <w:pPr>
                              <w:spacing w:after="0" w:line="240" w:lineRule="auto"/>
                              <w:jc w:val="center"/>
                              <w:rPr>
                                <w:rFonts w:ascii="Calibri" w:eastAsia="Times New Roman" w:hAnsi="Calibri" w:cs="Calibri"/>
                                <w:highlight w:val="yellow"/>
                                <w:lang w:eastAsia="en-GB"/>
                              </w:rPr>
                            </w:pPr>
                            <w:r w:rsidRPr="009B192F">
                              <w:rPr>
                                <w:rFonts w:ascii="Calibri" w:eastAsia="Times New Roman" w:hAnsi="Calibri" w:cs="Calibri"/>
                                <w:lang w:eastAsia="en-GB"/>
                              </w:rPr>
                              <w:t>0.791</w:t>
                            </w:r>
                          </w:p>
                        </w:tc>
                        <w:tc>
                          <w:tcPr>
                            <w:tcW w:w="1417" w:type="dxa"/>
                            <w:tcBorders>
                              <w:top w:val="nil"/>
                              <w:left w:val="nil"/>
                              <w:bottom w:val="single" w:sz="4" w:space="0" w:color="auto"/>
                              <w:right w:val="single" w:sz="4" w:space="0" w:color="auto"/>
                            </w:tcBorders>
                            <w:shd w:val="clear" w:color="auto" w:fill="auto"/>
                            <w:noWrap/>
                            <w:vAlign w:val="bottom"/>
                          </w:tcPr>
                          <w:p w14:paraId="7B1132E7" w14:textId="77777777" w:rsidR="00620449" w:rsidRPr="00AF397B" w:rsidRDefault="00620449" w:rsidP="002D0466">
                            <w:pPr>
                              <w:spacing w:after="0" w:line="240" w:lineRule="auto"/>
                              <w:jc w:val="center"/>
                              <w:rPr>
                                <w:rFonts w:ascii="Calibri" w:eastAsia="Times New Roman" w:hAnsi="Calibri" w:cs="Calibri"/>
                                <w:highlight w:val="yellow"/>
                                <w:lang w:eastAsia="en-GB"/>
                              </w:rPr>
                            </w:pPr>
                            <w:r w:rsidRPr="00D40BFE">
                              <w:rPr>
                                <w:rFonts w:ascii="Calibri" w:eastAsia="Times New Roman" w:hAnsi="Calibri" w:cs="Calibri"/>
                                <w:lang w:eastAsia="en-GB"/>
                              </w:rPr>
                              <w:t>0.498</w:t>
                            </w:r>
                          </w:p>
                        </w:tc>
                        <w:tc>
                          <w:tcPr>
                            <w:tcW w:w="1701" w:type="dxa"/>
                            <w:tcBorders>
                              <w:top w:val="nil"/>
                              <w:left w:val="nil"/>
                              <w:bottom w:val="single" w:sz="4" w:space="0" w:color="auto"/>
                              <w:right w:val="single" w:sz="4" w:space="0" w:color="auto"/>
                            </w:tcBorders>
                            <w:shd w:val="clear" w:color="auto" w:fill="auto"/>
                            <w:noWrap/>
                            <w:vAlign w:val="bottom"/>
                          </w:tcPr>
                          <w:p w14:paraId="5DDABCBB" w14:textId="49B2E153" w:rsidR="00620449" w:rsidRPr="00620449" w:rsidRDefault="00620449" w:rsidP="002D0466">
                            <w:pPr>
                              <w:spacing w:after="0" w:line="240" w:lineRule="auto"/>
                              <w:jc w:val="center"/>
                              <w:rPr>
                                <w:rFonts w:ascii="Calibri" w:eastAsia="Times New Roman" w:hAnsi="Calibri" w:cs="Calibri"/>
                                <w:lang w:eastAsia="en-GB"/>
                              </w:rPr>
                            </w:pPr>
                            <w:r w:rsidRPr="00620449">
                              <w:rPr>
                                <w:rFonts w:ascii="Calibri" w:eastAsia="Times New Roman" w:hAnsi="Calibri" w:cs="Calibri"/>
                                <w:lang w:eastAsia="en-GB"/>
                              </w:rPr>
                              <w:t>0.362</w:t>
                            </w:r>
                          </w:p>
                        </w:tc>
                      </w:tr>
                    </w:tbl>
                    <w:p w14:paraId="7CAF90B3" w14:textId="77777777" w:rsidR="00620449" w:rsidRDefault="00620449"/>
                    <w:p w14:paraId="764F2746" w14:textId="77777777" w:rsidR="00620449" w:rsidRDefault="00620449"/>
                  </w:txbxContent>
                </v:textbox>
                <w10:wrap anchorx="margin"/>
              </v:shape>
            </w:pict>
          </mc:Fallback>
        </mc:AlternateContent>
      </w:r>
      <w:r w:rsidR="000824B7">
        <w:rPr>
          <w:b/>
          <w:sz w:val="24"/>
          <w:u w:val="single"/>
        </w:rPr>
        <w:t>School</w:t>
      </w:r>
      <w:r w:rsidR="004D43D1" w:rsidRPr="006D66C2">
        <w:rPr>
          <w:b/>
          <w:sz w:val="24"/>
          <w:u w:val="single"/>
        </w:rPr>
        <w:t xml:space="preserve"> overview:</w:t>
      </w:r>
    </w:p>
    <w:p w14:paraId="158C2CD3" w14:textId="77777777" w:rsidR="004D43D1" w:rsidRPr="004D6BA2" w:rsidRDefault="004D43D1" w:rsidP="004D43D1">
      <w:pPr>
        <w:rPr>
          <w:b/>
          <w:highlight w:val="yellow"/>
        </w:rPr>
      </w:pPr>
      <w:r w:rsidRPr="00992699">
        <w:rPr>
          <w:b/>
        </w:rPr>
        <w:t xml:space="preserve">Number </w:t>
      </w:r>
      <w:r>
        <w:rPr>
          <w:b/>
        </w:rPr>
        <w:t xml:space="preserve">of students </w:t>
      </w:r>
      <w:r w:rsidRPr="00992699">
        <w:rPr>
          <w:b/>
        </w:rPr>
        <w:t>on roll:</w:t>
      </w:r>
      <w:r w:rsidR="00AC3994">
        <w:rPr>
          <w:b/>
        </w:rPr>
        <w:t xml:space="preserve"> </w:t>
      </w:r>
      <w:r w:rsidR="00F53C4C" w:rsidRPr="00F53C4C">
        <w:t>823</w:t>
      </w:r>
    </w:p>
    <w:p w14:paraId="3DA045A9" w14:textId="77777777" w:rsidR="004D43D1" w:rsidRPr="0075469A" w:rsidRDefault="004D43D1" w:rsidP="004D43D1">
      <w:pPr>
        <w:rPr>
          <w:b/>
        </w:rPr>
      </w:pPr>
      <w:r w:rsidRPr="0075469A">
        <w:rPr>
          <w:b/>
        </w:rPr>
        <w:t>Number of students eligible for PP funding:</w:t>
      </w:r>
      <w:r w:rsidR="00AC3994" w:rsidRPr="0075469A">
        <w:rPr>
          <w:b/>
        </w:rPr>
        <w:t xml:space="preserve"> </w:t>
      </w:r>
      <w:r w:rsidR="0075469A" w:rsidRPr="0075469A">
        <w:t>305 (37</w:t>
      </w:r>
      <w:r w:rsidR="003C7258" w:rsidRPr="0075469A">
        <w:t>%)</w:t>
      </w:r>
    </w:p>
    <w:tbl>
      <w:tblPr>
        <w:tblStyle w:val="TableGrid"/>
        <w:tblW w:w="0" w:type="auto"/>
        <w:tblLook w:val="04A0" w:firstRow="1" w:lastRow="0" w:firstColumn="1" w:lastColumn="0" w:noHBand="0" w:noVBand="1"/>
      </w:tblPr>
      <w:tblGrid>
        <w:gridCol w:w="1305"/>
        <w:gridCol w:w="1242"/>
        <w:gridCol w:w="1242"/>
        <w:gridCol w:w="1242"/>
      </w:tblGrid>
      <w:tr w:rsidR="00665B11" w:rsidRPr="004D6BA2" w14:paraId="6C56FCA0" w14:textId="77777777" w:rsidTr="00432B71">
        <w:trPr>
          <w:trHeight w:val="261"/>
        </w:trPr>
        <w:tc>
          <w:tcPr>
            <w:tcW w:w="1305" w:type="dxa"/>
          </w:tcPr>
          <w:p w14:paraId="029191B3" w14:textId="4826CA4A" w:rsidR="00665B11" w:rsidRPr="00665B11" w:rsidRDefault="00665B11" w:rsidP="000824B7">
            <w:pPr>
              <w:rPr>
                <w:b/>
              </w:rPr>
            </w:pPr>
            <w:r w:rsidRPr="00665B11">
              <w:rPr>
                <w:b/>
              </w:rPr>
              <w:t>Year Group</w:t>
            </w:r>
          </w:p>
        </w:tc>
        <w:tc>
          <w:tcPr>
            <w:tcW w:w="1242" w:type="dxa"/>
          </w:tcPr>
          <w:p w14:paraId="258F3920" w14:textId="77FE1028" w:rsidR="00665B11" w:rsidRPr="00665B11" w:rsidRDefault="00665B11" w:rsidP="00130C4A">
            <w:pPr>
              <w:jc w:val="center"/>
              <w:rPr>
                <w:b/>
              </w:rPr>
            </w:pPr>
            <w:r w:rsidRPr="00665B11">
              <w:rPr>
                <w:b/>
              </w:rPr>
              <w:t>Total Cohort</w:t>
            </w:r>
          </w:p>
        </w:tc>
        <w:tc>
          <w:tcPr>
            <w:tcW w:w="1242" w:type="dxa"/>
          </w:tcPr>
          <w:p w14:paraId="028F43D8" w14:textId="1A661BA9" w:rsidR="00665B11" w:rsidRPr="00665B11" w:rsidRDefault="00665B11" w:rsidP="00130C4A">
            <w:pPr>
              <w:jc w:val="center"/>
              <w:rPr>
                <w:b/>
              </w:rPr>
            </w:pPr>
            <w:r w:rsidRPr="00665B11">
              <w:rPr>
                <w:b/>
              </w:rPr>
              <w:t>PP</w:t>
            </w:r>
          </w:p>
        </w:tc>
        <w:tc>
          <w:tcPr>
            <w:tcW w:w="1242" w:type="dxa"/>
          </w:tcPr>
          <w:p w14:paraId="4D2A56F6" w14:textId="7E367F14" w:rsidR="00665B11" w:rsidRPr="00665B11" w:rsidRDefault="00665B11" w:rsidP="00130C4A">
            <w:pPr>
              <w:jc w:val="center"/>
              <w:rPr>
                <w:b/>
              </w:rPr>
            </w:pPr>
            <w:r w:rsidRPr="00665B11">
              <w:rPr>
                <w:b/>
              </w:rPr>
              <w:t>PP%</w:t>
            </w:r>
          </w:p>
        </w:tc>
      </w:tr>
      <w:tr w:rsidR="00665B11" w:rsidRPr="004D6BA2" w14:paraId="6F444DF1" w14:textId="77777777" w:rsidTr="00FC5ADD">
        <w:trPr>
          <w:trHeight w:val="261"/>
        </w:trPr>
        <w:tc>
          <w:tcPr>
            <w:tcW w:w="1305" w:type="dxa"/>
          </w:tcPr>
          <w:p w14:paraId="489D4846" w14:textId="77777777" w:rsidR="00665B11" w:rsidRPr="0075469A" w:rsidRDefault="00665B11" w:rsidP="000824B7">
            <w:pPr>
              <w:rPr>
                <w:b/>
              </w:rPr>
            </w:pPr>
            <w:r w:rsidRPr="0075469A">
              <w:rPr>
                <w:b/>
              </w:rPr>
              <w:t>Year 7</w:t>
            </w:r>
          </w:p>
        </w:tc>
        <w:tc>
          <w:tcPr>
            <w:tcW w:w="1242" w:type="dxa"/>
            <w:shd w:val="clear" w:color="auto" w:fill="FFFFFF" w:themeFill="background1"/>
          </w:tcPr>
          <w:p w14:paraId="7E81FB16" w14:textId="2A86B471" w:rsidR="00665B11" w:rsidRPr="00FC5ADD" w:rsidRDefault="00617F0E" w:rsidP="00130C4A">
            <w:pPr>
              <w:jc w:val="center"/>
            </w:pPr>
            <w:r w:rsidRPr="00FC5ADD">
              <w:t>184</w:t>
            </w:r>
          </w:p>
        </w:tc>
        <w:tc>
          <w:tcPr>
            <w:tcW w:w="1242" w:type="dxa"/>
          </w:tcPr>
          <w:p w14:paraId="54EA8423" w14:textId="460D1240" w:rsidR="00665B11" w:rsidRPr="0075469A" w:rsidRDefault="00665B11" w:rsidP="00130C4A">
            <w:pPr>
              <w:jc w:val="center"/>
            </w:pPr>
            <w:r w:rsidRPr="0075469A">
              <w:t>64</w:t>
            </w:r>
          </w:p>
        </w:tc>
        <w:tc>
          <w:tcPr>
            <w:tcW w:w="1242" w:type="dxa"/>
          </w:tcPr>
          <w:p w14:paraId="43DC2355" w14:textId="77777777" w:rsidR="00665B11" w:rsidRPr="00EB1037" w:rsidRDefault="00665B11" w:rsidP="00130C4A">
            <w:pPr>
              <w:jc w:val="center"/>
              <w:rPr>
                <w:highlight w:val="yellow"/>
              </w:rPr>
            </w:pPr>
            <w:r w:rsidRPr="009E63E8">
              <w:t>35%</w:t>
            </w:r>
          </w:p>
        </w:tc>
      </w:tr>
      <w:tr w:rsidR="00665B11" w:rsidRPr="004D6BA2" w14:paraId="4785B9EA" w14:textId="77777777" w:rsidTr="00FC5ADD">
        <w:trPr>
          <w:trHeight w:val="246"/>
        </w:trPr>
        <w:tc>
          <w:tcPr>
            <w:tcW w:w="1305" w:type="dxa"/>
          </w:tcPr>
          <w:p w14:paraId="2A6EFD21" w14:textId="66108ACC" w:rsidR="00665B11" w:rsidRPr="0075469A" w:rsidRDefault="00665B11" w:rsidP="000824B7">
            <w:pPr>
              <w:rPr>
                <w:b/>
              </w:rPr>
            </w:pPr>
            <w:r w:rsidRPr="0075469A">
              <w:rPr>
                <w:b/>
              </w:rPr>
              <w:t>Year 8</w:t>
            </w:r>
          </w:p>
        </w:tc>
        <w:tc>
          <w:tcPr>
            <w:tcW w:w="1242" w:type="dxa"/>
            <w:shd w:val="clear" w:color="auto" w:fill="FFFFFF" w:themeFill="background1"/>
          </w:tcPr>
          <w:p w14:paraId="696BAD14" w14:textId="76218AE3" w:rsidR="00665B11" w:rsidRPr="00FC5ADD" w:rsidRDefault="00617F0E" w:rsidP="00130C4A">
            <w:pPr>
              <w:jc w:val="center"/>
            </w:pPr>
            <w:r w:rsidRPr="00FC5ADD">
              <w:t>169</w:t>
            </w:r>
          </w:p>
        </w:tc>
        <w:tc>
          <w:tcPr>
            <w:tcW w:w="1242" w:type="dxa"/>
          </w:tcPr>
          <w:p w14:paraId="7EF1A816" w14:textId="5B8A7307" w:rsidR="00665B11" w:rsidRPr="0075469A" w:rsidRDefault="00665B11" w:rsidP="00130C4A">
            <w:pPr>
              <w:jc w:val="center"/>
            </w:pPr>
            <w:r w:rsidRPr="0075469A">
              <w:t>56</w:t>
            </w:r>
          </w:p>
        </w:tc>
        <w:tc>
          <w:tcPr>
            <w:tcW w:w="1242" w:type="dxa"/>
          </w:tcPr>
          <w:p w14:paraId="17CA50AD" w14:textId="77777777" w:rsidR="00665B11" w:rsidRPr="00EB1037" w:rsidRDefault="00665B11" w:rsidP="00130C4A">
            <w:pPr>
              <w:jc w:val="center"/>
              <w:rPr>
                <w:highlight w:val="yellow"/>
              </w:rPr>
            </w:pPr>
            <w:r w:rsidRPr="009E63E8">
              <w:t>33%</w:t>
            </w:r>
          </w:p>
        </w:tc>
      </w:tr>
      <w:tr w:rsidR="00665B11" w:rsidRPr="004D6BA2" w14:paraId="1AB93691" w14:textId="77777777" w:rsidTr="00FC5ADD">
        <w:trPr>
          <w:trHeight w:val="261"/>
        </w:trPr>
        <w:tc>
          <w:tcPr>
            <w:tcW w:w="1305" w:type="dxa"/>
          </w:tcPr>
          <w:p w14:paraId="703A2145" w14:textId="468017F8" w:rsidR="00665B11" w:rsidRPr="0075469A" w:rsidRDefault="00665B11" w:rsidP="000824B7">
            <w:pPr>
              <w:rPr>
                <w:b/>
              </w:rPr>
            </w:pPr>
            <w:r w:rsidRPr="0075469A">
              <w:rPr>
                <w:b/>
              </w:rPr>
              <w:t>Year 9</w:t>
            </w:r>
          </w:p>
        </w:tc>
        <w:tc>
          <w:tcPr>
            <w:tcW w:w="1242" w:type="dxa"/>
            <w:shd w:val="clear" w:color="auto" w:fill="FFFFFF" w:themeFill="background1"/>
          </w:tcPr>
          <w:p w14:paraId="27656142" w14:textId="6EFAC3BC" w:rsidR="00665B11" w:rsidRPr="00FC5ADD" w:rsidRDefault="00617F0E" w:rsidP="00130C4A">
            <w:pPr>
              <w:jc w:val="center"/>
            </w:pPr>
            <w:r w:rsidRPr="00FC5ADD">
              <w:t>172</w:t>
            </w:r>
          </w:p>
        </w:tc>
        <w:tc>
          <w:tcPr>
            <w:tcW w:w="1242" w:type="dxa"/>
          </w:tcPr>
          <w:p w14:paraId="011B370D" w14:textId="62DBDACA" w:rsidR="00665B11" w:rsidRPr="0075469A" w:rsidRDefault="00665B11" w:rsidP="00130C4A">
            <w:pPr>
              <w:jc w:val="center"/>
            </w:pPr>
            <w:r w:rsidRPr="0075469A">
              <w:t>66</w:t>
            </w:r>
          </w:p>
        </w:tc>
        <w:tc>
          <w:tcPr>
            <w:tcW w:w="1242" w:type="dxa"/>
          </w:tcPr>
          <w:p w14:paraId="0C1B9F41" w14:textId="77777777" w:rsidR="00665B11" w:rsidRPr="007811B8" w:rsidRDefault="00665B11" w:rsidP="00130C4A">
            <w:pPr>
              <w:jc w:val="center"/>
            </w:pPr>
            <w:r w:rsidRPr="007811B8">
              <w:t>38%</w:t>
            </w:r>
          </w:p>
        </w:tc>
      </w:tr>
      <w:tr w:rsidR="00665B11" w:rsidRPr="004D6BA2" w14:paraId="40D980D7" w14:textId="77777777" w:rsidTr="00FC5ADD">
        <w:trPr>
          <w:trHeight w:val="246"/>
        </w:trPr>
        <w:tc>
          <w:tcPr>
            <w:tcW w:w="1305" w:type="dxa"/>
          </w:tcPr>
          <w:p w14:paraId="4E6F0F43" w14:textId="77777777" w:rsidR="00665B11" w:rsidRPr="0075469A" w:rsidRDefault="00665B11" w:rsidP="000824B7">
            <w:pPr>
              <w:rPr>
                <w:b/>
              </w:rPr>
            </w:pPr>
            <w:r w:rsidRPr="0075469A">
              <w:rPr>
                <w:b/>
              </w:rPr>
              <w:t>Year 10</w:t>
            </w:r>
          </w:p>
        </w:tc>
        <w:tc>
          <w:tcPr>
            <w:tcW w:w="1242" w:type="dxa"/>
            <w:shd w:val="clear" w:color="auto" w:fill="FFFFFF" w:themeFill="background1"/>
          </w:tcPr>
          <w:p w14:paraId="76BBEC3A" w14:textId="330B3ABC" w:rsidR="00665B11" w:rsidRPr="00FC5ADD" w:rsidRDefault="00617F0E" w:rsidP="00130C4A">
            <w:pPr>
              <w:jc w:val="center"/>
            </w:pPr>
            <w:r w:rsidRPr="00FC5ADD">
              <w:t>153</w:t>
            </w:r>
          </w:p>
        </w:tc>
        <w:tc>
          <w:tcPr>
            <w:tcW w:w="1242" w:type="dxa"/>
          </w:tcPr>
          <w:p w14:paraId="15A9507A" w14:textId="7750EDB3" w:rsidR="00665B11" w:rsidRPr="0075469A" w:rsidRDefault="00665B11" w:rsidP="00130C4A">
            <w:pPr>
              <w:jc w:val="center"/>
            </w:pPr>
            <w:r w:rsidRPr="0075469A">
              <w:t>60</w:t>
            </w:r>
          </w:p>
        </w:tc>
        <w:tc>
          <w:tcPr>
            <w:tcW w:w="1242" w:type="dxa"/>
          </w:tcPr>
          <w:p w14:paraId="1B810CEC" w14:textId="77777777" w:rsidR="00665B11" w:rsidRPr="007811B8" w:rsidRDefault="00665B11" w:rsidP="00130C4A">
            <w:pPr>
              <w:jc w:val="center"/>
            </w:pPr>
            <w:r w:rsidRPr="007811B8">
              <w:t>40%</w:t>
            </w:r>
          </w:p>
        </w:tc>
      </w:tr>
      <w:tr w:rsidR="00665B11" w14:paraId="27267C55" w14:textId="77777777" w:rsidTr="00FC5ADD">
        <w:trPr>
          <w:trHeight w:val="261"/>
        </w:trPr>
        <w:tc>
          <w:tcPr>
            <w:tcW w:w="1305" w:type="dxa"/>
          </w:tcPr>
          <w:p w14:paraId="7330A067" w14:textId="77777777" w:rsidR="00665B11" w:rsidRPr="0075469A" w:rsidRDefault="00665B11" w:rsidP="000824B7">
            <w:pPr>
              <w:rPr>
                <w:b/>
              </w:rPr>
            </w:pPr>
            <w:r w:rsidRPr="0075469A">
              <w:rPr>
                <w:b/>
              </w:rPr>
              <w:t>Year 11</w:t>
            </w:r>
          </w:p>
        </w:tc>
        <w:tc>
          <w:tcPr>
            <w:tcW w:w="1242" w:type="dxa"/>
            <w:shd w:val="clear" w:color="auto" w:fill="FFFFFF" w:themeFill="background1"/>
          </w:tcPr>
          <w:p w14:paraId="33D07625" w14:textId="0124DD14" w:rsidR="00665B11" w:rsidRPr="00FC5ADD" w:rsidRDefault="00617F0E" w:rsidP="00130C4A">
            <w:pPr>
              <w:jc w:val="center"/>
            </w:pPr>
            <w:r w:rsidRPr="00FC5ADD">
              <w:t>141</w:t>
            </w:r>
          </w:p>
        </w:tc>
        <w:tc>
          <w:tcPr>
            <w:tcW w:w="1242" w:type="dxa"/>
          </w:tcPr>
          <w:p w14:paraId="2B8689A1" w14:textId="2262652F" w:rsidR="00665B11" w:rsidRPr="0075469A" w:rsidRDefault="00665B11" w:rsidP="00130C4A">
            <w:pPr>
              <w:jc w:val="center"/>
            </w:pPr>
            <w:r w:rsidRPr="0075469A">
              <w:t>59</w:t>
            </w:r>
          </w:p>
        </w:tc>
        <w:tc>
          <w:tcPr>
            <w:tcW w:w="1242" w:type="dxa"/>
          </w:tcPr>
          <w:p w14:paraId="635AA2DA" w14:textId="77777777" w:rsidR="00665B11" w:rsidRPr="007811B8" w:rsidRDefault="00665B11" w:rsidP="00130C4A">
            <w:pPr>
              <w:jc w:val="center"/>
            </w:pPr>
            <w:r w:rsidRPr="007811B8">
              <w:t>42%</w:t>
            </w:r>
          </w:p>
        </w:tc>
      </w:tr>
    </w:tbl>
    <w:p w14:paraId="69618B30" w14:textId="6354A707" w:rsidR="002D0466" w:rsidRDefault="002D0466" w:rsidP="004D43D1">
      <w:pPr>
        <w:rPr>
          <w:b/>
        </w:rPr>
      </w:pPr>
    </w:p>
    <w:p w14:paraId="5E259E0E" w14:textId="77777777" w:rsidR="004D43D1" w:rsidRPr="00992699" w:rsidRDefault="004D43D1" w:rsidP="004D43D1">
      <w:pPr>
        <w:rPr>
          <w:b/>
        </w:rPr>
      </w:pPr>
      <w:r w:rsidRPr="00992699">
        <w:rPr>
          <w:b/>
        </w:rPr>
        <w:t>Expenditure</w:t>
      </w:r>
      <w:r>
        <w:rPr>
          <w:b/>
        </w:rPr>
        <w:t xml:space="preserve"> overview</w:t>
      </w:r>
      <w:r w:rsidRPr="00992699">
        <w:rPr>
          <w:b/>
        </w:rPr>
        <w:t xml:space="preserve">: </w:t>
      </w:r>
    </w:p>
    <w:tbl>
      <w:tblPr>
        <w:tblStyle w:val="TableGrid"/>
        <w:tblW w:w="0" w:type="auto"/>
        <w:tblLook w:val="04A0" w:firstRow="1" w:lastRow="0" w:firstColumn="1" w:lastColumn="0" w:noHBand="0" w:noVBand="1"/>
      </w:tblPr>
      <w:tblGrid>
        <w:gridCol w:w="2789"/>
        <w:gridCol w:w="1175"/>
        <w:gridCol w:w="2552"/>
        <w:gridCol w:w="1417"/>
        <w:gridCol w:w="2523"/>
        <w:gridCol w:w="1843"/>
      </w:tblGrid>
      <w:tr w:rsidR="002D0466" w14:paraId="58EA5ED4" w14:textId="77777777" w:rsidTr="009E2E22">
        <w:tc>
          <w:tcPr>
            <w:tcW w:w="2789" w:type="dxa"/>
            <w:shd w:val="clear" w:color="auto" w:fill="D9D9D9" w:themeFill="background1" w:themeFillShade="D9"/>
          </w:tcPr>
          <w:p w14:paraId="642D7552" w14:textId="77777777" w:rsidR="002D0466" w:rsidRPr="00A85A53" w:rsidRDefault="002D0466" w:rsidP="000824B7">
            <w:pPr>
              <w:rPr>
                <w:b/>
              </w:rPr>
            </w:pPr>
            <w:r w:rsidRPr="00A85A53">
              <w:rPr>
                <w:b/>
              </w:rPr>
              <w:t>Pupil Premium Income</w:t>
            </w:r>
          </w:p>
          <w:p w14:paraId="3EFABCC1" w14:textId="77777777" w:rsidR="002D0466" w:rsidRPr="00A85A53" w:rsidRDefault="002D0466" w:rsidP="000824B7">
            <w:pPr>
              <w:rPr>
                <w:b/>
              </w:rPr>
            </w:pPr>
            <w:r w:rsidRPr="00A85A53">
              <w:rPr>
                <w:b/>
              </w:rPr>
              <w:t>2017-2018</w:t>
            </w:r>
          </w:p>
        </w:tc>
        <w:tc>
          <w:tcPr>
            <w:tcW w:w="1175" w:type="dxa"/>
          </w:tcPr>
          <w:p w14:paraId="34281C85" w14:textId="77777777" w:rsidR="002D0466" w:rsidRDefault="002D0466" w:rsidP="000824B7">
            <w:r>
              <w:t>£244,503</w:t>
            </w:r>
          </w:p>
        </w:tc>
        <w:tc>
          <w:tcPr>
            <w:tcW w:w="2552" w:type="dxa"/>
            <w:shd w:val="clear" w:color="auto" w:fill="D9D9D9" w:themeFill="background1" w:themeFillShade="D9"/>
          </w:tcPr>
          <w:p w14:paraId="01DADD15" w14:textId="77777777" w:rsidR="002D0466" w:rsidRPr="00A85A53" w:rsidRDefault="002D0466" w:rsidP="000824B7">
            <w:pPr>
              <w:rPr>
                <w:b/>
              </w:rPr>
            </w:pPr>
            <w:r w:rsidRPr="00A85A53">
              <w:rPr>
                <w:b/>
              </w:rPr>
              <w:t>Pupil Premium Income</w:t>
            </w:r>
          </w:p>
          <w:p w14:paraId="44601C09" w14:textId="77777777" w:rsidR="002D0466" w:rsidRPr="00A85A53" w:rsidRDefault="002D0466" w:rsidP="000824B7">
            <w:pPr>
              <w:rPr>
                <w:b/>
              </w:rPr>
            </w:pPr>
            <w:r w:rsidRPr="00A85A53">
              <w:rPr>
                <w:b/>
              </w:rPr>
              <w:t>2018-2019</w:t>
            </w:r>
          </w:p>
        </w:tc>
        <w:tc>
          <w:tcPr>
            <w:tcW w:w="1417" w:type="dxa"/>
          </w:tcPr>
          <w:p w14:paraId="362061F6" w14:textId="77777777" w:rsidR="002D0466" w:rsidRDefault="009E2E22" w:rsidP="000824B7">
            <w:r>
              <w:t>£262,735</w:t>
            </w:r>
          </w:p>
        </w:tc>
        <w:tc>
          <w:tcPr>
            <w:tcW w:w="2523" w:type="dxa"/>
            <w:shd w:val="clear" w:color="auto" w:fill="D9D9D9" w:themeFill="background1" w:themeFillShade="D9"/>
          </w:tcPr>
          <w:p w14:paraId="135AD8EF" w14:textId="77777777" w:rsidR="002D0466" w:rsidRPr="00A85A53" w:rsidRDefault="002D0466" w:rsidP="002D0466">
            <w:pPr>
              <w:rPr>
                <w:b/>
              </w:rPr>
            </w:pPr>
            <w:r w:rsidRPr="00A85A53">
              <w:rPr>
                <w:b/>
              </w:rPr>
              <w:t>Pupil Premium Income</w:t>
            </w:r>
          </w:p>
          <w:p w14:paraId="1F411601" w14:textId="77777777" w:rsidR="002D0466" w:rsidRDefault="002D0466" w:rsidP="002D0466">
            <w:pPr>
              <w:rPr>
                <w:rFonts w:ascii="Calibri" w:hAnsi="Calibri"/>
                <w:color w:val="000000"/>
              </w:rPr>
            </w:pPr>
            <w:r>
              <w:rPr>
                <w:b/>
              </w:rPr>
              <w:t>2019-2020</w:t>
            </w:r>
          </w:p>
        </w:tc>
        <w:tc>
          <w:tcPr>
            <w:tcW w:w="1843" w:type="dxa"/>
          </w:tcPr>
          <w:p w14:paraId="1EF5DB4A" w14:textId="77777777" w:rsidR="002D0466" w:rsidRDefault="009E2E22" w:rsidP="000824B7">
            <w:pPr>
              <w:rPr>
                <w:rFonts w:ascii="Calibri" w:hAnsi="Calibri"/>
                <w:color w:val="000000"/>
              </w:rPr>
            </w:pPr>
            <w:r>
              <w:rPr>
                <w:rFonts w:ascii="Calibri" w:hAnsi="Calibri"/>
                <w:color w:val="000000"/>
              </w:rPr>
              <w:t>£263,681 (TBC)</w:t>
            </w:r>
          </w:p>
        </w:tc>
      </w:tr>
      <w:tr w:rsidR="002D0466" w14:paraId="47D8A705" w14:textId="77777777" w:rsidTr="009E2E22">
        <w:tc>
          <w:tcPr>
            <w:tcW w:w="2789" w:type="dxa"/>
            <w:shd w:val="clear" w:color="auto" w:fill="D9D9D9" w:themeFill="background1" w:themeFillShade="D9"/>
          </w:tcPr>
          <w:p w14:paraId="3244C6A7" w14:textId="77777777" w:rsidR="002D0466" w:rsidRPr="00A85A53" w:rsidRDefault="002D0466" w:rsidP="000824B7">
            <w:pPr>
              <w:rPr>
                <w:b/>
              </w:rPr>
            </w:pPr>
            <w:r w:rsidRPr="00A85A53">
              <w:rPr>
                <w:b/>
              </w:rPr>
              <w:t xml:space="preserve">Total Spend </w:t>
            </w:r>
          </w:p>
          <w:p w14:paraId="1385D421" w14:textId="77777777" w:rsidR="002D0466" w:rsidRPr="00A85A53" w:rsidRDefault="002D0466" w:rsidP="000824B7">
            <w:pPr>
              <w:rPr>
                <w:b/>
              </w:rPr>
            </w:pPr>
            <w:r w:rsidRPr="00A85A53">
              <w:rPr>
                <w:b/>
              </w:rPr>
              <w:t>2017-2018</w:t>
            </w:r>
          </w:p>
        </w:tc>
        <w:tc>
          <w:tcPr>
            <w:tcW w:w="1175" w:type="dxa"/>
          </w:tcPr>
          <w:p w14:paraId="1027B934" w14:textId="77777777" w:rsidR="002D0466" w:rsidRDefault="002D0466" w:rsidP="000824B7">
            <w:r>
              <w:t>£244,503</w:t>
            </w:r>
          </w:p>
        </w:tc>
        <w:tc>
          <w:tcPr>
            <w:tcW w:w="2552" w:type="dxa"/>
            <w:shd w:val="clear" w:color="auto" w:fill="D9D9D9" w:themeFill="background1" w:themeFillShade="D9"/>
          </w:tcPr>
          <w:p w14:paraId="5EF8B0BE" w14:textId="77777777" w:rsidR="002D0466" w:rsidRPr="00A85A53" w:rsidRDefault="002D0466" w:rsidP="000824B7">
            <w:pPr>
              <w:rPr>
                <w:b/>
              </w:rPr>
            </w:pPr>
            <w:r w:rsidRPr="00A85A53">
              <w:rPr>
                <w:b/>
              </w:rPr>
              <w:t xml:space="preserve">Total Spend </w:t>
            </w:r>
          </w:p>
          <w:p w14:paraId="05A1535A" w14:textId="77777777" w:rsidR="002D0466" w:rsidRPr="00A85A53" w:rsidRDefault="002D0466" w:rsidP="000824B7">
            <w:pPr>
              <w:rPr>
                <w:b/>
              </w:rPr>
            </w:pPr>
            <w:r>
              <w:rPr>
                <w:b/>
              </w:rPr>
              <w:t>2018-2019</w:t>
            </w:r>
          </w:p>
        </w:tc>
        <w:tc>
          <w:tcPr>
            <w:tcW w:w="1417" w:type="dxa"/>
          </w:tcPr>
          <w:p w14:paraId="19074D82" w14:textId="77777777" w:rsidR="002D0466" w:rsidRDefault="005A32B5" w:rsidP="000824B7">
            <w:r>
              <w:t>£271,653</w:t>
            </w:r>
          </w:p>
        </w:tc>
        <w:tc>
          <w:tcPr>
            <w:tcW w:w="2523" w:type="dxa"/>
            <w:shd w:val="clear" w:color="auto" w:fill="D9D9D9" w:themeFill="background1" w:themeFillShade="D9"/>
          </w:tcPr>
          <w:p w14:paraId="48353557" w14:textId="77777777" w:rsidR="002D0466" w:rsidRPr="00A85A53" w:rsidRDefault="002D0466" w:rsidP="002D0466">
            <w:pPr>
              <w:rPr>
                <w:b/>
              </w:rPr>
            </w:pPr>
            <w:r w:rsidRPr="00A85A53">
              <w:rPr>
                <w:b/>
              </w:rPr>
              <w:t xml:space="preserve">Total Projected Spend </w:t>
            </w:r>
          </w:p>
          <w:p w14:paraId="3C4C1E87" w14:textId="77777777" w:rsidR="002D0466" w:rsidRDefault="002D0466" w:rsidP="002D0466">
            <w:r>
              <w:rPr>
                <w:b/>
              </w:rPr>
              <w:t>2019-2020</w:t>
            </w:r>
          </w:p>
        </w:tc>
        <w:tc>
          <w:tcPr>
            <w:tcW w:w="1843" w:type="dxa"/>
          </w:tcPr>
          <w:p w14:paraId="4F3BE54D" w14:textId="0D1C0276" w:rsidR="002D0466" w:rsidRDefault="00F921A2" w:rsidP="000824B7">
            <w:r>
              <w:t>£294,786</w:t>
            </w:r>
          </w:p>
        </w:tc>
      </w:tr>
    </w:tbl>
    <w:p w14:paraId="5D8C41CF" w14:textId="77777777" w:rsidR="004D43D1" w:rsidRDefault="004D43D1" w:rsidP="004D43D1"/>
    <w:p w14:paraId="68C5779E" w14:textId="77777777" w:rsidR="004D43D1" w:rsidRDefault="004D43D1" w:rsidP="004D43D1">
      <w:pPr>
        <w:rPr>
          <w:b/>
        </w:rPr>
      </w:pPr>
      <w:r w:rsidRPr="00992699">
        <w:rPr>
          <w:b/>
        </w:rPr>
        <w:t xml:space="preserve">Barriers to future attainment: </w:t>
      </w:r>
    </w:p>
    <w:tbl>
      <w:tblPr>
        <w:tblStyle w:val="TableGrid"/>
        <w:tblW w:w="0" w:type="auto"/>
        <w:tblInd w:w="-5" w:type="dxa"/>
        <w:tblLook w:val="04A0" w:firstRow="1" w:lastRow="0" w:firstColumn="1" w:lastColumn="0" w:noHBand="0" w:noVBand="1"/>
      </w:tblPr>
      <w:tblGrid>
        <w:gridCol w:w="7399"/>
        <w:gridCol w:w="7399"/>
      </w:tblGrid>
      <w:tr w:rsidR="004D43D1" w:rsidRPr="00353A06" w14:paraId="1C97FBFC" w14:textId="77777777" w:rsidTr="00410B0F">
        <w:trPr>
          <w:trHeight w:val="437"/>
        </w:trPr>
        <w:tc>
          <w:tcPr>
            <w:tcW w:w="7399" w:type="dxa"/>
            <w:shd w:val="clear" w:color="auto" w:fill="D9D9D9" w:themeFill="background1" w:themeFillShade="D9"/>
          </w:tcPr>
          <w:p w14:paraId="7A8AC4EE" w14:textId="77777777" w:rsidR="004D43D1" w:rsidRPr="00353A06" w:rsidRDefault="004D43D1" w:rsidP="00537871">
            <w:pPr>
              <w:jc w:val="center"/>
              <w:rPr>
                <w:b/>
              </w:rPr>
            </w:pPr>
            <w:r w:rsidRPr="00353A06">
              <w:rPr>
                <w:b/>
              </w:rPr>
              <w:t>Academic:</w:t>
            </w:r>
          </w:p>
        </w:tc>
        <w:tc>
          <w:tcPr>
            <w:tcW w:w="7399" w:type="dxa"/>
            <w:shd w:val="clear" w:color="auto" w:fill="D9D9D9" w:themeFill="background1" w:themeFillShade="D9"/>
          </w:tcPr>
          <w:p w14:paraId="38B1EB2D" w14:textId="77777777" w:rsidR="004D43D1" w:rsidRPr="00353A06" w:rsidRDefault="004D43D1" w:rsidP="00537871">
            <w:pPr>
              <w:jc w:val="center"/>
              <w:rPr>
                <w:b/>
              </w:rPr>
            </w:pPr>
            <w:r w:rsidRPr="00353A06">
              <w:rPr>
                <w:b/>
              </w:rPr>
              <w:t>Other:</w:t>
            </w:r>
          </w:p>
        </w:tc>
      </w:tr>
      <w:tr w:rsidR="004D43D1" w14:paraId="1B33119F" w14:textId="77777777" w:rsidTr="00537871">
        <w:trPr>
          <w:trHeight w:val="412"/>
        </w:trPr>
        <w:tc>
          <w:tcPr>
            <w:tcW w:w="7399" w:type="dxa"/>
          </w:tcPr>
          <w:p w14:paraId="0DAAB5D6" w14:textId="77777777" w:rsidR="004D43D1" w:rsidRDefault="00D044EC" w:rsidP="00543099">
            <w:pPr>
              <w:pStyle w:val="ListParagraph"/>
              <w:numPr>
                <w:ilvl w:val="0"/>
                <w:numId w:val="7"/>
              </w:numPr>
            </w:pPr>
            <w:r>
              <w:t xml:space="preserve">Low literacy </w:t>
            </w:r>
            <w:r w:rsidR="001B73CB">
              <w:t>&amp; numeracy</w:t>
            </w:r>
            <w:bookmarkStart w:id="0" w:name="_GoBack"/>
            <w:bookmarkEnd w:id="0"/>
            <w:r w:rsidR="001B73CB">
              <w:t xml:space="preserve"> </w:t>
            </w:r>
            <w:r w:rsidR="00543099">
              <w:t>skills</w:t>
            </w:r>
          </w:p>
          <w:p w14:paraId="690E8A90" w14:textId="77777777" w:rsidR="00543099" w:rsidRDefault="00543099" w:rsidP="00543099">
            <w:pPr>
              <w:pStyle w:val="ListParagraph"/>
              <w:numPr>
                <w:ilvl w:val="0"/>
                <w:numId w:val="7"/>
              </w:numPr>
            </w:pPr>
            <w:r>
              <w:t>Poor revision skills</w:t>
            </w:r>
          </w:p>
          <w:p w14:paraId="430F4480" w14:textId="5C89141D" w:rsidR="00536382" w:rsidRDefault="00536382" w:rsidP="00536382"/>
          <w:p w14:paraId="3BC3C688" w14:textId="77777777" w:rsidR="004E0E90" w:rsidRPr="00FE7C8A" w:rsidRDefault="004E0E90" w:rsidP="000824B7"/>
        </w:tc>
        <w:tc>
          <w:tcPr>
            <w:tcW w:w="7399" w:type="dxa"/>
          </w:tcPr>
          <w:p w14:paraId="60A415B0" w14:textId="77777777" w:rsidR="004D43D1" w:rsidRDefault="00386950" w:rsidP="00543099">
            <w:pPr>
              <w:pStyle w:val="ListParagraph"/>
              <w:numPr>
                <w:ilvl w:val="0"/>
                <w:numId w:val="8"/>
              </w:numPr>
            </w:pPr>
            <w:r>
              <w:t>Lower than average a</w:t>
            </w:r>
            <w:r w:rsidR="00543099">
              <w:t>ttendance</w:t>
            </w:r>
          </w:p>
          <w:p w14:paraId="11E0E951" w14:textId="77777777" w:rsidR="00543099" w:rsidRDefault="00543099" w:rsidP="00543099">
            <w:pPr>
              <w:pStyle w:val="ListParagraph"/>
              <w:numPr>
                <w:ilvl w:val="0"/>
                <w:numId w:val="8"/>
              </w:numPr>
            </w:pPr>
            <w:r>
              <w:t>Access to an adequate learning environment</w:t>
            </w:r>
          </w:p>
          <w:p w14:paraId="7C637CDF" w14:textId="77777777" w:rsidR="00543099" w:rsidRDefault="00386950" w:rsidP="00543099">
            <w:pPr>
              <w:pStyle w:val="ListParagraph"/>
              <w:numPr>
                <w:ilvl w:val="0"/>
                <w:numId w:val="8"/>
              </w:numPr>
            </w:pPr>
            <w:r>
              <w:t>Poor/disruptive b</w:t>
            </w:r>
            <w:r w:rsidR="00543099">
              <w:t>ehaviour</w:t>
            </w:r>
          </w:p>
          <w:p w14:paraId="0FBA7CE9" w14:textId="77777777" w:rsidR="00543099" w:rsidRPr="00F201F8" w:rsidRDefault="00543099" w:rsidP="00543099">
            <w:pPr>
              <w:pStyle w:val="ListParagraph"/>
              <w:numPr>
                <w:ilvl w:val="0"/>
                <w:numId w:val="8"/>
              </w:numPr>
              <w:rPr>
                <w:b/>
              </w:rPr>
            </w:pPr>
            <w:r>
              <w:t>Social/emotional</w:t>
            </w:r>
            <w:r w:rsidR="00B44269">
              <w:t>/health</w:t>
            </w:r>
            <w:r>
              <w:t xml:space="preserve"> issues</w:t>
            </w:r>
          </w:p>
          <w:p w14:paraId="0056C0E7" w14:textId="77777777" w:rsidR="00F201F8" w:rsidRPr="00543099" w:rsidRDefault="00F201F8" w:rsidP="00543099">
            <w:pPr>
              <w:pStyle w:val="ListParagraph"/>
              <w:numPr>
                <w:ilvl w:val="0"/>
                <w:numId w:val="8"/>
              </w:numPr>
              <w:rPr>
                <w:b/>
              </w:rPr>
            </w:pPr>
            <w:r>
              <w:t xml:space="preserve">Low </w:t>
            </w:r>
            <w:r w:rsidR="007315AD">
              <w:t xml:space="preserve">income/lack of resources </w:t>
            </w:r>
          </w:p>
        </w:tc>
      </w:tr>
    </w:tbl>
    <w:p w14:paraId="1137C0FB" w14:textId="77777777" w:rsidR="004D43D1" w:rsidRDefault="004D43D1"/>
    <w:p w14:paraId="22F3123C" w14:textId="77777777" w:rsidR="00316DE5" w:rsidRDefault="00316DE5"/>
    <w:p w14:paraId="620F5259" w14:textId="77777777" w:rsidR="00664D68" w:rsidRDefault="00664D68"/>
    <w:p w14:paraId="00D71646" w14:textId="77777777" w:rsidR="00CF0368" w:rsidRDefault="00CF0368">
      <w:pPr>
        <w:rPr>
          <w:b/>
          <w:sz w:val="24"/>
        </w:rPr>
      </w:pPr>
      <w:r>
        <w:rPr>
          <w:b/>
          <w:sz w:val="24"/>
        </w:rPr>
        <w:t>Planned expenditure 20</w:t>
      </w:r>
      <w:r w:rsidR="002D0466">
        <w:rPr>
          <w:b/>
          <w:sz w:val="24"/>
        </w:rPr>
        <w:t>19-20</w:t>
      </w:r>
      <w:r w:rsidRPr="006E79A1">
        <w:rPr>
          <w:b/>
          <w:sz w:val="24"/>
        </w:rPr>
        <w:t>:</w:t>
      </w:r>
    </w:p>
    <w:p w14:paraId="567E2B28" w14:textId="77777777" w:rsidR="00947235" w:rsidRPr="00AC3D83" w:rsidRDefault="00B726BA" w:rsidP="00947235">
      <w:pPr>
        <w:spacing w:before="100" w:beforeAutospacing="1" w:after="100" w:afterAutospacing="1" w:line="240" w:lineRule="auto"/>
        <w:rPr>
          <w:rFonts w:ascii="Calibri" w:eastAsia="Calibri" w:hAnsi="Calibri" w:cs="Times New Roman"/>
          <w:b/>
          <w:sz w:val="24"/>
          <w:szCs w:val="24"/>
          <w:lang w:val="en"/>
        </w:rPr>
      </w:pPr>
      <w:r w:rsidRPr="00AC3D83">
        <w:rPr>
          <w:rFonts w:ascii="Calibri" w:eastAsia="Calibri" w:hAnsi="Calibri" w:cs="Times New Roman"/>
          <w:b/>
          <w:sz w:val="24"/>
          <w:szCs w:val="24"/>
        </w:rPr>
        <w:t>1. S</w:t>
      </w:r>
      <w:r w:rsidR="00AC3D83" w:rsidRPr="00AC3D83">
        <w:rPr>
          <w:rFonts w:ascii="Calibri" w:eastAsia="Calibri" w:hAnsi="Calibri" w:cs="Times New Roman"/>
          <w:b/>
          <w:sz w:val="24"/>
          <w:szCs w:val="24"/>
          <w:lang w:val="en"/>
        </w:rPr>
        <w:t>upporting</w:t>
      </w:r>
      <w:r w:rsidRPr="00AC3D83">
        <w:rPr>
          <w:rFonts w:ascii="Calibri" w:eastAsia="Calibri" w:hAnsi="Calibri" w:cs="Times New Roman"/>
          <w:b/>
          <w:sz w:val="24"/>
          <w:szCs w:val="24"/>
          <w:lang w:val="en"/>
        </w:rPr>
        <w:t xml:space="preserve"> training and continuous development to improve the quality of all teaching</w:t>
      </w:r>
    </w:p>
    <w:tbl>
      <w:tblPr>
        <w:tblStyle w:val="TableGrid"/>
        <w:tblW w:w="15388" w:type="dxa"/>
        <w:jc w:val="center"/>
        <w:tblLayout w:type="fixed"/>
        <w:tblLook w:val="04A0" w:firstRow="1" w:lastRow="0" w:firstColumn="1" w:lastColumn="0" w:noHBand="0" w:noVBand="1"/>
      </w:tblPr>
      <w:tblGrid>
        <w:gridCol w:w="1696"/>
        <w:gridCol w:w="1276"/>
        <w:gridCol w:w="1701"/>
        <w:gridCol w:w="9356"/>
        <w:gridCol w:w="1359"/>
      </w:tblGrid>
      <w:tr w:rsidR="001E20D3" w:rsidRPr="001F0FFC" w14:paraId="6DF3AFCA" w14:textId="77777777" w:rsidTr="005A32B5">
        <w:trPr>
          <w:tblHeader/>
          <w:jc w:val="center"/>
        </w:trPr>
        <w:tc>
          <w:tcPr>
            <w:tcW w:w="1696" w:type="dxa"/>
            <w:shd w:val="clear" w:color="auto" w:fill="D9D9D9" w:themeFill="background1" w:themeFillShade="D9"/>
          </w:tcPr>
          <w:p w14:paraId="414A926C" w14:textId="77777777" w:rsidR="001E20D3" w:rsidRDefault="001E20D3" w:rsidP="006C6D2C">
            <w:pPr>
              <w:jc w:val="center"/>
              <w:rPr>
                <w:b/>
              </w:rPr>
            </w:pPr>
            <w:r>
              <w:rPr>
                <w:b/>
              </w:rPr>
              <w:t>2018/19</w:t>
            </w:r>
          </w:p>
          <w:p w14:paraId="64E005F6" w14:textId="77777777" w:rsidR="001E20D3" w:rsidRPr="00D004B8" w:rsidRDefault="001E20D3" w:rsidP="006C6D2C">
            <w:pPr>
              <w:jc w:val="center"/>
              <w:rPr>
                <w:b/>
              </w:rPr>
            </w:pPr>
            <w:r w:rsidRPr="00D004B8">
              <w:rPr>
                <w:b/>
              </w:rPr>
              <w:t>Strategies</w:t>
            </w:r>
          </w:p>
        </w:tc>
        <w:tc>
          <w:tcPr>
            <w:tcW w:w="1276" w:type="dxa"/>
            <w:shd w:val="clear" w:color="auto" w:fill="D9D9D9" w:themeFill="background1" w:themeFillShade="D9"/>
          </w:tcPr>
          <w:p w14:paraId="01518836" w14:textId="77777777" w:rsidR="001E20D3" w:rsidRDefault="001E20D3" w:rsidP="006C6D2C">
            <w:pPr>
              <w:jc w:val="center"/>
              <w:rPr>
                <w:b/>
              </w:rPr>
            </w:pPr>
            <w:r>
              <w:rPr>
                <w:b/>
              </w:rPr>
              <w:t>Person responsible</w:t>
            </w:r>
          </w:p>
        </w:tc>
        <w:tc>
          <w:tcPr>
            <w:tcW w:w="1701" w:type="dxa"/>
            <w:shd w:val="clear" w:color="auto" w:fill="D9D9D9" w:themeFill="background1" w:themeFillShade="D9"/>
          </w:tcPr>
          <w:p w14:paraId="2FE32AED" w14:textId="77777777" w:rsidR="001E20D3" w:rsidRDefault="001E20D3" w:rsidP="006C6D2C">
            <w:pPr>
              <w:jc w:val="center"/>
              <w:rPr>
                <w:b/>
              </w:rPr>
            </w:pPr>
            <w:r>
              <w:rPr>
                <w:b/>
              </w:rPr>
              <w:t>Intended outcomes</w:t>
            </w:r>
          </w:p>
          <w:p w14:paraId="38F29F7D" w14:textId="77777777" w:rsidR="001E20D3" w:rsidRDefault="001E20D3" w:rsidP="006C6D2C">
            <w:pPr>
              <w:rPr>
                <w:b/>
              </w:rPr>
            </w:pPr>
          </w:p>
        </w:tc>
        <w:tc>
          <w:tcPr>
            <w:tcW w:w="9356" w:type="dxa"/>
            <w:shd w:val="clear" w:color="auto" w:fill="D9D9D9" w:themeFill="background1" w:themeFillShade="D9"/>
          </w:tcPr>
          <w:p w14:paraId="4EDD5823" w14:textId="77777777" w:rsidR="001E20D3" w:rsidRDefault="001E20D3" w:rsidP="006C6D2C">
            <w:pPr>
              <w:jc w:val="center"/>
              <w:rPr>
                <w:b/>
              </w:rPr>
            </w:pPr>
            <w:r>
              <w:rPr>
                <w:b/>
              </w:rPr>
              <w:t>Rationale &amp; evidence</w:t>
            </w:r>
          </w:p>
          <w:p w14:paraId="1C8B1115" w14:textId="77777777" w:rsidR="001E20D3" w:rsidRDefault="001E20D3" w:rsidP="006C6D2C">
            <w:pPr>
              <w:jc w:val="center"/>
              <w:rPr>
                <w:b/>
              </w:rPr>
            </w:pPr>
            <w:r>
              <w:rPr>
                <w:b/>
              </w:rPr>
              <w:t>(previous experience &amp; EEF toolkit)</w:t>
            </w:r>
          </w:p>
          <w:p w14:paraId="1E1B085B" w14:textId="77777777" w:rsidR="001E20D3" w:rsidRPr="00E10B44" w:rsidRDefault="001E20D3" w:rsidP="006C6D2C">
            <w:pPr>
              <w:rPr>
                <w:b/>
              </w:rPr>
            </w:pPr>
            <w:r>
              <w:rPr>
                <w:b/>
              </w:rPr>
              <w:t xml:space="preserve"> </w:t>
            </w:r>
          </w:p>
        </w:tc>
        <w:tc>
          <w:tcPr>
            <w:tcW w:w="1359" w:type="dxa"/>
            <w:shd w:val="clear" w:color="auto" w:fill="D9D9D9" w:themeFill="background1" w:themeFillShade="D9"/>
          </w:tcPr>
          <w:p w14:paraId="0E1C479B" w14:textId="77777777" w:rsidR="001E20D3" w:rsidRPr="001F0FFC" w:rsidRDefault="001E20D3" w:rsidP="006C6D2C">
            <w:pPr>
              <w:jc w:val="center"/>
              <w:rPr>
                <w:b/>
              </w:rPr>
            </w:pPr>
            <w:r>
              <w:rPr>
                <w:b/>
              </w:rPr>
              <w:t xml:space="preserve">Budgeted Cost </w:t>
            </w:r>
          </w:p>
        </w:tc>
      </w:tr>
      <w:tr w:rsidR="001E20D3" w:rsidRPr="001F0FFC" w14:paraId="55B66AB7" w14:textId="77777777" w:rsidTr="005A32B5">
        <w:trPr>
          <w:jc w:val="center"/>
        </w:trPr>
        <w:tc>
          <w:tcPr>
            <w:tcW w:w="1696" w:type="dxa"/>
            <w:shd w:val="clear" w:color="auto" w:fill="D9D9D9" w:themeFill="background1" w:themeFillShade="D9"/>
          </w:tcPr>
          <w:p w14:paraId="38ABD836" w14:textId="77777777" w:rsidR="001E20D3" w:rsidRPr="00AC3D83" w:rsidRDefault="001E20D3" w:rsidP="006C6D2C">
            <w:pPr>
              <w:jc w:val="center"/>
            </w:pPr>
            <w:r w:rsidRPr="00AC3D83">
              <w:t>Developing teaching</w:t>
            </w:r>
          </w:p>
        </w:tc>
        <w:tc>
          <w:tcPr>
            <w:tcW w:w="1276" w:type="dxa"/>
          </w:tcPr>
          <w:p w14:paraId="339264F6" w14:textId="77777777" w:rsidR="001E20D3" w:rsidRPr="00AC3D83" w:rsidRDefault="001E20D3" w:rsidP="006C6D2C">
            <w:pPr>
              <w:jc w:val="center"/>
            </w:pPr>
            <w:r w:rsidRPr="00AC3D83">
              <w:t>JPR</w:t>
            </w:r>
          </w:p>
        </w:tc>
        <w:tc>
          <w:tcPr>
            <w:tcW w:w="1701" w:type="dxa"/>
          </w:tcPr>
          <w:p w14:paraId="123806F0" w14:textId="77777777" w:rsidR="001E20D3" w:rsidRPr="00AC3D83" w:rsidRDefault="001E20D3" w:rsidP="006C6D2C">
            <w:r w:rsidRPr="00AC3D83">
              <w:t>Better quality T&amp;L activities bein</w:t>
            </w:r>
            <w:r w:rsidRPr="00AC3D83">
              <w:lastRenderedPageBreak/>
              <w:t>g delivered by staff.</w:t>
            </w:r>
          </w:p>
          <w:p w14:paraId="0A6EE94D" w14:textId="77777777" w:rsidR="001E20D3" w:rsidRPr="00AC3D83" w:rsidRDefault="001E20D3" w:rsidP="006C6D2C"/>
          <w:p w14:paraId="5BF8E6B8" w14:textId="77777777" w:rsidR="001E20D3" w:rsidRPr="00AC3D83" w:rsidRDefault="001E20D3" w:rsidP="006C6D2C">
            <w:r w:rsidRPr="00AC3D83">
              <w:t>Increased student engagement.</w:t>
            </w:r>
          </w:p>
          <w:p w14:paraId="76B80013" w14:textId="77777777" w:rsidR="001E20D3" w:rsidRPr="00AC3D83" w:rsidRDefault="001E20D3" w:rsidP="006C6D2C"/>
          <w:p w14:paraId="0BE7D3F0" w14:textId="77777777" w:rsidR="001E20D3" w:rsidRPr="00AC3D83" w:rsidRDefault="001E20D3" w:rsidP="006C6D2C">
            <w:r w:rsidRPr="00AC3D83">
              <w:t xml:space="preserve">Reduction in use of on-call/ </w:t>
            </w:r>
            <w:r w:rsidR="00AC3D83" w:rsidRPr="00AC3D83">
              <w:t>behaviour points</w:t>
            </w:r>
          </w:p>
          <w:p w14:paraId="57BA5B8D" w14:textId="77777777" w:rsidR="001E20D3" w:rsidRPr="00AC3D83" w:rsidRDefault="001E20D3" w:rsidP="006C6D2C"/>
          <w:p w14:paraId="2357275C" w14:textId="77777777" w:rsidR="001E20D3" w:rsidRPr="00AC3D83" w:rsidRDefault="001E20D3" w:rsidP="006C6D2C">
            <w:r w:rsidRPr="00AC3D83">
              <w:t xml:space="preserve">Increased outcomes. </w:t>
            </w:r>
          </w:p>
          <w:p w14:paraId="618DC6EB" w14:textId="77777777" w:rsidR="00342BA9" w:rsidRDefault="00342BA9" w:rsidP="006C6D2C">
            <w:pPr>
              <w:rPr>
                <w:highlight w:val="yellow"/>
              </w:rPr>
            </w:pPr>
          </w:p>
          <w:p w14:paraId="1714FEB0" w14:textId="77777777" w:rsidR="00342BA9" w:rsidRDefault="00342BA9" w:rsidP="006C6D2C">
            <w:pPr>
              <w:rPr>
                <w:highlight w:val="yellow"/>
              </w:rPr>
            </w:pPr>
          </w:p>
          <w:p w14:paraId="1B7B6D32" w14:textId="77777777" w:rsidR="00AC3D83" w:rsidRPr="002D0466" w:rsidRDefault="00AC3D83" w:rsidP="006C6D2C">
            <w:pPr>
              <w:rPr>
                <w:highlight w:val="yellow"/>
              </w:rPr>
            </w:pPr>
          </w:p>
        </w:tc>
        <w:tc>
          <w:tcPr>
            <w:tcW w:w="9356" w:type="dxa"/>
          </w:tcPr>
          <w:p w14:paraId="6918E709" w14:textId="48675461" w:rsidR="001E20D3" w:rsidRPr="00664D68" w:rsidRDefault="005A27F2" w:rsidP="00E202A4">
            <w:r w:rsidRPr="00620449">
              <w:lastRenderedPageBreak/>
              <w:t xml:space="preserve">EEF Pupil Premium Guidance 2019 states that “Good teaching is the most important lever schools have to improve outcomes for disadvantaged pupils.  Using the Pupil Premium to improve quality teaching benefits all students and has a particularly positive effect on children eligible for the Pupil Premium”.  </w:t>
            </w:r>
            <w:r w:rsidR="0081040D" w:rsidRPr="00620449">
              <w:t>In 2019 we appointed a T&amp;L lead as a Deputy Headteacher in order to improve teaching across the whole school.  Additionally, i</w:t>
            </w:r>
            <w:r w:rsidR="001E20D3" w:rsidRPr="00620449">
              <w:t xml:space="preserve">n 2019-20, Bolsover will be focusing on developing resilient and independent students.  We know that amongst many of our students, but especially some of our PP students, </w:t>
            </w:r>
            <w:r w:rsidR="006C6D2C" w:rsidRPr="00620449">
              <w:t xml:space="preserve">inconsistencies in T&amp;L can have a significant impact on their success.  </w:t>
            </w:r>
            <w:r w:rsidR="001E20D3" w:rsidRPr="00620449">
              <w:t xml:space="preserve">All staff CPD sessions and INSETS will be focused on </w:t>
            </w:r>
            <w:r w:rsidR="006C6D2C" w:rsidRPr="00620449">
              <w:t xml:space="preserve">reducing inconsistencies across the school.  To do this our main focus will be on increased engagement in lessons, teaching to the top and extended writing.  Many of these </w:t>
            </w:r>
            <w:r w:rsidR="00342BA9" w:rsidRPr="00620449">
              <w:t>strategies include collaborative learning and metacognition and self-regulation.</w:t>
            </w:r>
            <w:r w:rsidR="006C6D2C" w:rsidRPr="00620449">
              <w:t xml:space="preserve">  </w:t>
            </w:r>
            <w:r w:rsidR="001E20D3" w:rsidRPr="00620449">
              <w:t xml:space="preserve">We are also ensuring that feedback remains an important feature of teaching and learning, </w:t>
            </w:r>
            <w:r w:rsidR="006C6D2C" w:rsidRPr="00620449">
              <w:t xml:space="preserve">encouraging our staff to use </w:t>
            </w:r>
            <w:r w:rsidR="006C6D2C" w:rsidRPr="00620449">
              <w:lastRenderedPageBreak/>
              <w:t>‘live marking’ so students receive immediate feedback on their work.</w:t>
            </w:r>
            <w:r w:rsidRPr="00620449">
              <w:t xml:space="preserve">  The EEF estimates that these strategies can contribute to adding up to 8 months’ progress for students.</w:t>
            </w:r>
          </w:p>
          <w:p w14:paraId="7B64363B" w14:textId="77777777" w:rsidR="001E20D3" w:rsidRPr="00664D68" w:rsidRDefault="001744AB" w:rsidP="003074B6">
            <w:r w:rsidRPr="00664D68">
              <w:rPr>
                <w:noProof/>
                <w:lang w:eastAsia="en-GB"/>
              </w:rPr>
              <w:drawing>
                <wp:anchor distT="0" distB="0" distL="114300" distR="114300" simplePos="0" relativeHeight="251645440" behindDoc="0" locked="0" layoutInCell="1" allowOverlap="1" wp14:anchorId="202FCAAD" wp14:editId="647F0F36">
                  <wp:simplePos x="0" y="0"/>
                  <wp:positionH relativeFrom="column">
                    <wp:posOffset>-67310</wp:posOffset>
                  </wp:positionH>
                  <wp:positionV relativeFrom="paragraph">
                    <wp:posOffset>516890</wp:posOffset>
                  </wp:positionV>
                  <wp:extent cx="5876925" cy="5791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579120"/>
                          </a:xfrm>
                          <a:prstGeom prst="rect">
                            <a:avLst/>
                          </a:prstGeom>
                          <a:noFill/>
                        </pic:spPr>
                      </pic:pic>
                    </a:graphicData>
                  </a:graphic>
                  <wp14:sizeRelH relativeFrom="page">
                    <wp14:pctWidth>0</wp14:pctWidth>
                  </wp14:sizeRelH>
                  <wp14:sizeRelV relativeFrom="page">
                    <wp14:pctHeight>0</wp14:pctHeight>
                  </wp14:sizeRelV>
                </wp:anchor>
              </w:drawing>
            </w:r>
            <w:r w:rsidR="00664D68" w:rsidRPr="00664D68">
              <w:rPr>
                <w:noProof/>
                <w:lang w:eastAsia="en-GB"/>
              </w:rPr>
              <w:drawing>
                <wp:inline distT="0" distB="0" distL="0" distR="0" wp14:anchorId="79776594" wp14:editId="7480CC3C">
                  <wp:extent cx="5810250" cy="513080"/>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4016" cy="519594"/>
                          </a:xfrm>
                          <a:prstGeom prst="rect">
                            <a:avLst/>
                          </a:prstGeom>
                        </pic:spPr>
                      </pic:pic>
                    </a:graphicData>
                  </a:graphic>
                </wp:inline>
              </w:drawing>
            </w:r>
            <w:r w:rsidR="001E20D3" w:rsidRPr="00664D68">
              <w:rPr>
                <w:noProof/>
                <w:lang w:eastAsia="en-GB"/>
              </w:rPr>
              <w:drawing>
                <wp:inline distT="0" distB="0" distL="0" distR="0" wp14:anchorId="0C28022D" wp14:editId="75E82CDF">
                  <wp:extent cx="5810250" cy="506095"/>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4819" cy="507364"/>
                          </a:xfrm>
                          <a:prstGeom prst="rect">
                            <a:avLst/>
                          </a:prstGeom>
                        </pic:spPr>
                      </pic:pic>
                    </a:graphicData>
                  </a:graphic>
                </wp:inline>
              </w:drawing>
            </w:r>
          </w:p>
          <w:p w14:paraId="4E818033" w14:textId="77777777" w:rsidR="001E20D3" w:rsidRPr="002D0466" w:rsidRDefault="001E20D3" w:rsidP="006C6D2C">
            <w:pPr>
              <w:rPr>
                <w:highlight w:val="yellow"/>
              </w:rPr>
            </w:pPr>
          </w:p>
        </w:tc>
        <w:tc>
          <w:tcPr>
            <w:tcW w:w="1359" w:type="dxa"/>
          </w:tcPr>
          <w:p w14:paraId="59200DA7" w14:textId="77777777" w:rsidR="006F077E" w:rsidRDefault="006F077E" w:rsidP="006C6D2C">
            <w:pPr>
              <w:jc w:val="center"/>
              <w:rPr>
                <w:rFonts w:ascii="Calibri" w:hAnsi="Calibri"/>
                <w:color w:val="000000" w:themeColor="text1"/>
                <w:shd w:val="clear" w:color="auto" w:fill="FFFFFF"/>
              </w:rPr>
            </w:pPr>
          </w:p>
          <w:p w14:paraId="3DB89370" w14:textId="2D015893" w:rsidR="006F077E" w:rsidRPr="001F0FFC" w:rsidRDefault="00086558" w:rsidP="006C6D2C">
            <w:pPr>
              <w:jc w:val="center"/>
              <w:rPr>
                <w:color w:val="000000" w:themeColor="text1"/>
              </w:rPr>
            </w:pPr>
            <w:r>
              <w:rPr>
                <w:rFonts w:ascii="Calibri" w:hAnsi="Calibri"/>
                <w:color w:val="000000" w:themeColor="text1"/>
                <w:shd w:val="clear" w:color="auto" w:fill="FFFFFF"/>
              </w:rPr>
              <w:t>£30</w:t>
            </w:r>
            <w:r w:rsidR="006F077E">
              <w:rPr>
                <w:rFonts w:ascii="Calibri" w:hAnsi="Calibri"/>
                <w:color w:val="000000" w:themeColor="text1"/>
                <w:shd w:val="clear" w:color="auto" w:fill="FFFFFF"/>
              </w:rPr>
              <w:t>,000</w:t>
            </w:r>
          </w:p>
          <w:p w14:paraId="6CFD0C5F" w14:textId="77777777" w:rsidR="001E20D3" w:rsidRPr="001F0FFC" w:rsidRDefault="001E20D3" w:rsidP="006C6D2C">
            <w:pPr>
              <w:jc w:val="center"/>
              <w:rPr>
                <w:color w:val="000000" w:themeColor="text1"/>
              </w:rPr>
            </w:pPr>
          </w:p>
          <w:p w14:paraId="42D08CCD" w14:textId="77777777" w:rsidR="001E20D3" w:rsidRPr="001F0FFC" w:rsidRDefault="001E20D3" w:rsidP="006C6D2C">
            <w:pPr>
              <w:jc w:val="center"/>
            </w:pPr>
          </w:p>
        </w:tc>
      </w:tr>
      <w:tr w:rsidR="001E20D3" w:rsidRPr="001F0FFC" w14:paraId="5CCDA133" w14:textId="77777777" w:rsidTr="005A32B5">
        <w:trPr>
          <w:tblHeader/>
          <w:jc w:val="center"/>
        </w:trPr>
        <w:tc>
          <w:tcPr>
            <w:tcW w:w="1696" w:type="dxa"/>
            <w:shd w:val="clear" w:color="auto" w:fill="D9D9D9" w:themeFill="background1" w:themeFillShade="D9"/>
          </w:tcPr>
          <w:p w14:paraId="5228CAF1" w14:textId="77777777" w:rsidR="001E20D3" w:rsidRPr="00DD40FE" w:rsidRDefault="00DD40FE" w:rsidP="004325BE">
            <w:pPr>
              <w:jc w:val="center"/>
            </w:pPr>
            <w:r w:rsidRPr="00DD40FE">
              <w:lastRenderedPageBreak/>
              <w:t>CPD Offer</w:t>
            </w:r>
          </w:p>
        </w:tc>
        <w:tc>
          <w:tcPr>
            <w:tcW w:w="1276" w:type="dxa"/>
            <w:shd w:val="clear" w:color="auto" w:fill="FFFFFF" w:themeFill="background1"/>
          </w:tcPr>
          <w:p w14:paraId="01FE5EF0" w14:textId="77777777" w:rsidR="001E20D3" w:rsidRPr="00DD40FE" w:rsidRDefault="00DD40FE" w:rsidP="006C6D2C">
            <w:pPr>
              <w:jc w:val="center"/>
            </w:pPr>
            <w:r w:rsidRPr="00DD40FE">
              <w:t>JPR</w:t>
            </w:r>
          </w:p>
        </w:tc>
        <w:tc>
          <w:tcPr>
            <w:tcW w:w="1701" w:type="dxa"/>
            <w:shd w:val="clear" w:color="auto" w:fill="FFFFFF" w:themeFill="background1"/>
          </w:tcPr>
          <w:p w14:paraId="168CD96F" w14:textId="77777777" w:rsidR="001E20D3" w:rsidRPr="00DD40FE" w:rsidRDefault="00DD40FE" w:rsidP="00DD40FE">
            <w:r>
              <w:t>A wide range of staff engaging in a variety of external and internal CPD opportunities to im</w:t>
            </w:r>
            <w:r w:rsidR="001744AB">
              <w:t xml:space="preserve">prove T&amp;L, staff motivation, </w:t>
            </w:r>
            <w:r>
              <w:lastRenderedPageBreak/>
              <w:t>well-being and leadership.</w:t>
            </w:r>
          </w:p>
        </w:tc>
        <w:tc>
          <w:tcPr>
            <w:tcW w:w="9356" w:type="dxa"/>
            <w:shd w:val="clear" w:color="auto" w:fill="FFFFFF" w:themeFill="background1"/>
          </w:tcPr>
          <w:p w14:paraId="347E2C4D" w14:textId="179FD169" w:rsidR="001E20D3" w:rsidRDefault="001744AB" w:rsidP="00DD40FE">
            <w:r>
              <w:rPr>
                <w:noProof/>
                <w:lang w:eastAsia="en-GB"/>
              </w:rPr>
              <w:lastRenderedPageBreak/>
              <w:drawing>
                <wp:anchor distT="0" distB="0" distL="114300" distR="114300" simplePos="0" relativeHeight="251646464" behindDoc="0" locked="0" layoutInCell="1" allowOverlap="1" wp14:anchorId="670E4D83" wp14:editId="2AC08703">
                  <wp:simplePos x="0" y="0"/>
                  <wp:positionH relativeFrom="column">
                    <wp:posOffset>-62865</wp:posOffset>
                  </wp:positionH>
                  <wp:positionV relativeFrom="paragraph">
                    <wp:posOffset>1644650</wp:posOffset>
                  </wp:positionV>
                  <wp:extent cx="5932170" cy="511810"/>
                  <wp:effectExtent l="0" t="0" r="0" b="254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170" cy="511810"/>
                          </a:xfrm>
                          <a:prstGeom prst="rect">
                            <a:avLst/>
                          </a:prstGeom>
                          <a:noFill/>
                        </pic:spPr>
                      </pic:pic>
                    </a:graphicData>
                  </a:graphic>
                  <wp14:sizeRelH relativeFrom="page">
                    <wp14:pctWidth>0</wp14:pctWidth>
                  </wp14:sizeRelH>
                  <wp14:sizeRelV relativeFrom="page">
                    <wp14:pctHeight>0</wp14:pctHeight>
                  </wp14:sizeRelV>
                </wp:anchor>
              </w:drawing>
            </w:r>
            <w:r w:rsidR="00DD40FE">
              <w:t>In 2019-20, Bolsover will continue to offer an extensive range of CPD opportunities to staff.  Staff are encouraged to attend optional additional CPD sessions which are delivered in-house as well as those accessed through the Redhill Teaching School Alliance.</w:t>
            </w:r>
            <w:r w:rsidR="006F59C0">
              <w:t xml:space="preserve">  Due to staff feedback and information gathered at the Short Notice Review, 6 of the most relevant CPD courses for the Derbyshire schools within the Redhill Trust have been moved to Derbyshire rather than Nottinghamshire.  At Bolsover we have also tied these sessions to some of our staff twilight CPD sessions to ensure maximum attendance.  The sessions on offer across Derbyshire and Nottinghamshire cover an extensive range of varied CPD opportunities but feedback and collaborative learning </w:t>
            </w:r>
            <w:r w:rsidR="006F59C0" w:rsidRPr="00620449">
              <w:t>are two common strands which</w:t>
            </w:r>
            <w:r w:rsidR="005A27F2" w:rsidRPr="00620449">
              <w:t xml:space="preserve"> EEF evidence suggest can have an</w:t>
            </w:r>
            <w:r w:rsidR="006F59C0" w:rsidRPr="00620449">
              <w:t xml:space="preserve"> impact on T&amp;L.</w:t>
            </w:r>
          </w:p>
          <w:p w14:paraId="6776608F" w14:textId="77777777" w:rsidR="006F7043" w:rsidRDefault="001744AB" w:rsidP="00DD40FE">
            <w:r>
              <w:rPr>
                <w:noProof/>
                <w:lang w:eastAsia="en-GB"/>
              </w:rPr>
              <w:drawing>
                <wp:anchor distT="0" distB="0" distL="114300" distR="114300" simplePos="0" relativeHeight="251657728" behindDoc="0" locked="0" layoutInCell="1" allowOverlap="1" wp14:anchorId="37085190" wp14:editId="552DC220">
                  <wp:simplePos x="0" y="0"/>
                  <wp:positionH relativeFrom="column">
                    <wp:posOffset>-635</wp:posOffset>
                  </wp:positionH>
                  <wp:positionV relativeFrom="paragraph">
                    <wp:posOffset>624205</wp:posOffset>
                  </wp:positionV>
                  <wp:extent cx="6035040" cy="596837"/>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35040" cy="596837"/>
                          </a:xfrm>
                          <a:prstGeom prst="rect">
                            <a:avLst/>
                          </a:prstGeom>
                        </pic:spPr>
                      </pic:pic>
                    </a:graphicData>
                  </a:graphic>
                  <wp14:sizeRelH relativeFrom="page">
                    <wp14:pctWidth>0</wp14:pctWidth>
                  </wp14:sizeRelH>
                  <wp14:sizeRelV relativeFrom="page">
                    <wp14:pctHeight>0</wp14:pctHeight>
                  </wp14:sizeRelV>
                </wp:anchor>
              </w:drawing>
            </w:r>
          </w:p>
          <w:p w14:paraId="43633EF1" w14:textId="77777777" w:rsidR="00445D04" w:rsidRPr="00DD40FE" w:rsidRDefault="00445D04" w:rsidP="00DD40FE"/>
        </w:tc>
        <w:tc>
          <w:tcPr>
            <w:tcW w:w="1359" w:type="dxa"/>
            <w:shd w:val="clear" w:color="auto" w:fill="FFFFFF" w:themeFill="background1"/>
          </w:tcPr>
          <w:p w14:paraId="51727A18" w14:textId="77777777" w:rsidR="00664D68" w:rsidRDefault="00664D68" w:rsidP="006C6D2C">
            <w:pPr>
              <w:jc w:val="center"/>
            </w:pPr>
          </w:p>
          <w:p w14:paraId="2FC2BCB1" w14:textId="77777777" w:rsidR="005A32B5" w:rsidRPr="007A18B4" w:rsidRDefault="005A32B5" w:rsidP="006C6D2C">
            <w:pPr>
              <w:jc w:val="center"/>
            </w:pPr>
            <w:r w:rsidRPr="00664D68">
              <w:t>£</w:t>
            </w:r>
            <w:r w:rsidR="00C66666">
              <w:t>25,000</w:t>
            </w:r>
          </w:p>
        </w:tc>
      </w:tr>
      <w:tr w:rsidR="00445D04" w:rsidRPr="001F0FFC" w14:paraId="26CD569B" w14:textId="77777777" w:rsidTr="005A32B5">
        <w:trPr>
          <w:tblHeader/>
          <w:jc w:val="center"/>
        </w:trPr>
        <w:tc>
          <w:tcPr>
            <w:tcW w:w="1696" w:type="dxa"/>
            <w:shd w:val="clear" w:color="auto" w:fill="D9D9D9" w:themeFill="background1" w:themeFillShade="D9"/>
          </w:tcPr>
          <w:p w14:paraId="57AE05A1" w14:textId="77777777" w:rsidR="00445D04" w:rsidRPr="002D0466" w:rsidRDefault="00445D04" w:rsidP="00445D04">
            <w:pPr>
              <w:jc w:val="center"/>
              <w:rPr>
                <w:highlight w:val="yellow"/>
              </w:rPr>
            </w:pPr>
            <w:r w:rsidRPr="006F59C0">
              <w:lastRenderedPageBreak/>
              <w:t>Contribution to lead practitioner salary (English &amp; Science)</w:t>
            </w:r>
          </w:p>
        </w:tc>
        <w:tc>
          <w:tcPr>
            <w:tcW w:w="1276" w:type="dxa"/>
            <w:shd w:val="clear" w:color="auto" w:fill="FFFFFF" w:themeFill="background1"/>
          </w:tcPr>
          <w:p w14:paraId="4A1AE51A" w14:textId="77777777" w:rsidR="00445D04" w:rsidRPr="002D0466" w:rsidRDefault="00445D04" w:rsidP="00445D04">
            <w:pPr>
              <w:jc w:val="center"/>
              <w:rPr>
                <w:highlight w:val="yellow"/>
              </w:rPr>
            </w:pPr>
            <w:r w:rsidRPr="006F59C0">
              <w:t>JPR</w:t>
            </w:r>
          </w:p>
        </w:tc>
        <w:tc>
          <w:tcPr>
            <w:tcW w:w="1701" w:type="dxa"/>
            <w:shd w:val="clear" w:color="auto" w:fill="FFFFFF" w:themeFill="background1"/>
          </w:tcPr>
          <w:p w14:paraId="04D3FAB4" w14:textId="77777777" w:rsidR="00445D04" w:rsidRPr="004D089E" w:rsidRDefault="006F59C0" w:rsidP="00445D04">
            <w:r w:rsidRPr="004D089E">
              <w:t xml:space="preserve">P8 for PP students </w:t>
            </w:r>
            <w:r w:rsidR="004D089E" w:rsidRPr="004D089E">
              <w:t>&gt;0.</w:t>
            </w:r>
          </w:p>
          <w:p w14:paraId="53458037" w14:textId="77777777" w:rsidR="004D089E" w:rsidRPr="004D089E" w:rsidRDefault="004D089E" w:rsidP="00445D04"/>
          <w:p w14:paraId="2C5499FE" w14:textId="77777777" w:rsidR="00445D04" w:rsidRPr="002D0466" w:rsidRDefault="004D089E" w:rsidP="00445D04">
            <w:pPr>
              <w:rPr>
                <w:highlight w:val="yellow"/>
              </w:rPr>
            </w:pPr>
            <w:r w:rsidRPr="004D089E">
              <w:t>Improved T&amp;L/CPD within Science/English.</w:t>
            </w:r>
          </w:p>
        </w:tc>
        <w:tc>
          <w:tcPr>
            <w:tcW w:w="9356" w:type="dxa"/>
            <w:shd w:val="clear" w:color="auto" w:fill="FFFFFF" w:themeFill="background1"/>
          </w:tcPr>
          <w:p w14:paraId="44A48136" w14:textId="75612EDC" w:rsidR="001744AB" w:rsidRDefault="001744AB" w:rsidP="00445D04">
            <w:r w:rsidRPr="00664D68">
              <w:rPr>
                <w:noProof/>
                <w:lang w:eastAsia="en-GB"/>
              </w:rPr>
              <w:drawing>
                <wp:anchor distT="0" distB="0" distL="114300" distR="114300" simplePos="0" relativeHeight="251649536" behindDoc="0" locked="0" layoutInCell="1" allowOverlap="1" wp14:anchorId="577D2409" wp14:editId="76DC4203">
                  <wp:simplePos x="0" y="0"/>
                  <wp:positionH relativeFrom="column">
                    <wp:posOffset>-65405</wp:posOffset>
                  </wp:positionH>
                  <wp:positionV relativeFrom="paragraph">
                    <wp:posOffset>2539365</wp:posOffset>
                  </wp:positionV>
                  <wp:extent cx="6057900" cy="544841"/>
                  <wp:effectExtent l="0" t="0" r="9525" b="762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57900" cy="544841"/>
                          </a:xfrm>
                          <a:prstGeom prst="rect">
                            <a:avLst/>
                          </a:prstGeom>
                        </pic:spPr>
                      </pic:pic>
                    </a:graphicData>
                  </a:graphic>
                  <wp14:sizeRelH relativeFrom="page">
                    <wp14:pctWidth>0</wp14:pctWidth>
                  </wp14:sizeRelH>
                  <wp14:sizeRelV relativeFrom="page">
                    <wp14:pctHeight>0</wp14:pctHeight>
                  </wp14:sizeRelV>
                </wp:anchor>
              </w:drawing>
            </w:r>
            <w:r w:rsidRPr="00664D68">
              <w:rPr>
                <w:noProof/>
                <w:lang w:eastAsia="en-GB"/>
              </w:rPr>
              <w:drawing>
                <wp:anchor distT="0" distB="0" distL="114300" distR="114300" simplePos="0" relativeHeight="251648512" behindDoc="0" locked="0" layoutInCell="1" allowOverlap="1" wp14:anchorId="7ADD57A2" wp14:editId="1877ED72">
                  <wp:simplePos x="0" y="0"/>
                  <wp:positionH relativeFrom="column">
                    <wp:posOffset>-64770</wp:posOffset>
                  </wp:positionH>
                  <wp:positionV relativeFrom="paragraph">
                    <wp:posOffset>1958975</wp:posOffset>
                  </wp:positionV>
                  <wp:extent cx="5899150" cy="502285"/>
                  <wp:effectExtent l="0" t="0" r="635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99150" cy="502285"/>
                          </a:xfrm>
                          <a:prstGeom prst="rect">
                            <a:avLst/>
                          </a:prstGeom>
                        </pic:spPr>
                      </pic:pic>
                    </a:graphicData>
                  </a:graphic>
                  <wp14:sizeRelH relativeFrom="page">
                    <wp14:pctWidth>0</wp14:pctWidth>
                  </wp14:sizeRelH>
                  <wp14:sizeRelV relativeFrom="page">
                    <wp14:pctHeight>0</wp14:pctHeight>
                  </wp14:sizeRelV>
                </wp:anchor>
              </w:drawing>
            </w:r>
            <w:r w:rsidR="00C82B25" w:rsidRPr="00664D68">
              <w:t xml:space="preserve">Last year we appointed a </w:t>
            </w:r>
            <w:r w:rsidR="00445D04" w:rsidRPr="00664D68">
              <w:t xml:space="preserve">Lead Practitioner </w:t>
            </w:r>
            <w:r w:rsidR="00C82B25" w:rsidRPr="00664D68">
              <w:t>in English and from September 2019 we have a lead practitioner in Science.  These staff have</w:t>
            </w:r>
            <w:r w:rsidR="00445D04" w:rsidRPr="00664D68">
              <w:t xml:space="preserve"> been employed with a remit of tack</w:t>
            </w:r>
            <w:r w:rsidR="004D089E" w:rsidRPr="00664D68">
              <w:t xml:space="preserve">ling underperformance in their respective departments.  The LP within English will also work to train and develop NQTs within the department as well as having a whole school focus to address the underachievement of boys.  The LP within Science will have a whole school focus to develop ‘teaching to the top’ and the curriculum + provision.  Both staff will </w:t>
            </w:r>
            <w:r w:rsidR="00445D04" w:rsidRPr="00664D68">
              <w:t>contribute to intervention programme</w:t>
            </w:r>
            <w:r w:rsidR="004D089E" w:rsidRPr="00664D68">
              <w:t>s for their own departments</w:t>
            </w:r>
            <w:r w:rsidR="00445D04" w:rsidRPr="00664D68">
              <w:t>,</w:t>
            </w:r>
            <w:r w:rsidR="004D089E" w:rsidRPr="00664D68">
              <w:t xml:space="preserve"> such as Curriculum+ </w:t>
            </w:r>
            <w:r w:rsidR="004D089E" w:rsidRPr="00620449">
              <w:t>sessions.</w:t>
            </w:r>
            <w:r w:rsidR="00445D04" w:rsidRPr="00620449">
              <w:t xml:space="preserve"> </w:t>
            </w:r>
            <w:r w:rsidR="005A27F2" w:rsidRPr="00620449">
              <w:t xml:space="preserve">EEF </w:t>
            </w:r>
            <w:r w:rsidR="00445D04" w:rsidRPr="00620449">
              <w:t>Research</w:t>
            </w:r>
            <w:r w:rsidR="00445D04" w:rsidRPr="00664D68">
              <w:t xml:space="preserve"> shows that all of the activities which fall within the LP’s remit, positively contribute towards improving student progress by up to 8 months.</w:t>
            </w:r>
          </w:p>
          <w:p w14:paraId="75FDC995" w14:textId="77777777" w:rsidR="00445D04" w:rsidRPr="00664D68" w:rsidRDefault="00445D04" w:rsidP="00445D04">
            <w:r w:rsidRPr="00664D68">
              <w:rPr>
                <w:noProof/>
                <w:lang w:eastAsia="en-GB"/>
              </w:rPr>
              <w:drawing>
                <wp:anchor distT="0" distB="0" distL="114300" distR="114300" simplePos="0" relativeHeight="251647488" behindDoc="0" locked="0" layoutInCell="1" allowOverlap="1" wp14:anchorId="4BDCF12D" wp14:editId="761D1F1D">
                  <wp:simplePos x="0" y="0"/>
                  <wp:positionH relativeFrom="column">
                    <wp:posOffset>-635</wp:posOffset>
                  </wp:positionH>
                  <wp:positionV relativeFrom="paragraph">
                    <wp:posOffset>4445</wp:posOffset>
                  </wp:positionV>
                  <wp:extent cx="5972175" cy="533400"/>
                  <wp:effectExtent l="0" t="0" r="9525"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72175" cy="533400"/>
                          </a:xfrm>
                          <a:prstGeom prst="rect">
                            <a:avLst/>
                          </a:prstGeom>
                        </pic:spPr>
                      </pic:pic>
                    </a:graphicData>
                  </a:graphic>
                  <wp14:sizeRelH relativeFrom="page">
                    <wp14:pctWidth>0</wp14:pctWidth>
                  </wp14:sizeRelH>
                  <wp14:sizeRelV relativeFrom="page">
                    <wp14:pctHeight>0</wp14:pctHeight>
                  </wp14:sizeRelV>
                </wp:anchor>
              </w:drawing>
            </w:r>
          </w:p>
        </w:tc>
        <w:tc>
          <w:tcPr>
            <w:tcW w:w="1359" w:type="dxa"/>
            <w:shd w:val="clear" w:color="auto" w:fill="FFFFFF" w:themeFill="background1"/>
          </w:tcPr>
          <w:p w14:paraId="242B5895" w14:textId="77777777" w:rsidR="00664D68" w:rsidRPr="00664D68" w:rsidRDefault="00664D68" w:rsidP="00445D04">
            <w:pPr>
              <w:jc w:val="center"/>
              <w:rPr>
                <w:rFonts w:ascii="Calibri" w:hAnsi="Calibri"/>
                <w:color w:val="000000" w:themeColor="text1"/>
                <w:shd w:val="clear" w:color="auto" w:fill="FFFFFF"/>
              </w:rPr>
            </w:pPr>
          </w:p>
          <w:p w14:paraId="2DF224EC" w14:textId="47E3D64D" w:rsidR="00445D04" w:rsidRPr="00664D68" w:rsidRDefault="00086558" w:rsidP="00445D04">
            <w:pPr>
              <w:jc w:val="center"/>
              <w:rPr>
                <w:color w:val="000000" w:themeColor="text1"/>
              </w:rPr>
            </w:pPr>
            <w:r>
              <w:rPr>
                <w:rFonts w:ascii="Calibri" w:hAnsi="Calibri"/>
                <w:color w:val="000000" w:themeColor="text1"/>
                <w:shd w:val="clear" w:color="auto" w:fill="FFFFFF"/>
              </w:rPr>
              <w:t>£35,</w:t>
            </w:r>
            <w:r w:rsidR="00664D68" w:rsidRPr="00664D68">
              <w:rPr>
                <w:rFonts w:ascii="Calibri" w:hAnsi="Calibri"/>
                <w:color w:val="000000" w:themeColor="text1"/>
                <w:shd w:val="clear" w:color="auto" w:fill="FFFFFF"/>
              </w:rPr>
              <w:t>000</w:t>
            </w:r>
          </w:p>
          <w:p w14:paraId="3D7F2E94" w14:textId="77777777" w:rsidR="00445D04" w:rsidRPr="00664D68" w:rsidRDefault="00445D04" w:rsidP="00445D04">
            <w:pPr>
              <w:jc w:val="center"/>
              <w:rPr>
                <w:color w:val="000000" w:themeColor="text1"/>
              </w:rPr>
            </w:pPr>
          </w:p>
          <w:p w14:paraId="532AAA1F" w14:textId="77777777" w:rsidR="00445D04" w:rsidRPr="00664D68" w:rsidRDefault="00445D04" w:rsidP="00445D04">
            <w:pPr>
              <w:jc w:val="center"/>
            </w:pPr>
          </w:p>
        </w:tc>
      </w:tr>
      <w:tr w:rsidR="00445D04" w:rsidRPr="001F0FFC" w14:paraId="1F531B05" w14:textId="77777777" w:rsidTr="005A32B5">
        <w:trPr>
          <w:tblHeader/>
          <w:jc w:val="center"/>
        </w:trPr>
        <w:tc>
          <w:tcPr>
            <w:tcW w:w="1696" w:type="dxa"/>
            <w:shd w:val="clear" w:color="auto" w:fill="D9D9D9" w:themeFill="background1" w:themeFillShade="D9"/>
          </w:tcPr>
          <w:p w14:paraId="2E804F01" w14:textId="77777777" w:rsidR="00445D04" w:rsidRPr="0081040D" w:rsidRDefault="0081040D" w:rsidP="00445D04">
            <w:pPr>
              <w:jc w:val="center"/>
            </w:pPr>
            <w:r w:rsidRPr="0081040D">
              <w:t>T&amp;L Lead in Maths</w:t>
            </w:r>
          </w:p>
        </w:tc>
        <w:tc>
          <w:tcPr>
            <w:tcW w:w="1276" w:type="dxa"/>
            <w:shd w:val="clear" w:color="auto" w:fill="FFFFFF" w:themeFill="background1"/>
          </w:tcPr>
          <w:p w14:paraId="0B6392E9" w14:textId="77777777" w:rsidR="00445D04" w:rsidRPr="0081040D" w:rsidRDefault="0081040D" w:rsidP="00445D04">
            <w:pPr>
              <w:jc w:val="center"/>
            </w:pPr>
            <w:r>
              <w:t>RBE</w:t>
            </w:r>
          </w:p>
        </w:tc>
        <w:tc>
          <w:tcPr>
            <w:tcW w:w="1701" w:type="dxa"/>
            <w:shd w:val="clear" w:color="auto" w:fill="FFFFFF" w:themeFill="background1"/>
          </w:tcPr>
          <w:p w14:paraId="0607BB4E" w14:textId="77777777" w:rsidR="00445D04" w:rsidRPr="0081040D" w:rsidRDefault="004D089E" w:rsidP="00445D04">
            <w:pPr>
              <w:jc w:val="center"/>
            </w:pPr>
            <w:r>
              <w:t>P8 for PP students &gt;0.</w:t>
            </w:r>
          </w:p>
        </w:tc>
        <w:tc>
          <w:tcPr>
            <w:tcW w:w="9356" w:type="dxa"/>
            <w:shd w:val="clear" w:color="auto" w:fill="FFFFFF" w:themeFill="background1"/>
          </w:tcPr>
          <w:p w14:paraId="4188F030" w14:textId="5EBF2BE8" w:rsidR="00050810" w:rsidRPr="0081040D" w:rsidRDefault="005A27F2" w:rsidP="0081040D">
            <w:r>
              <w:rPr>
                <w:noProof/>
                <w:lang w:eastAsia="en-GB"/>
              </w:rPr>
              <w:drawing>
                <wp:anchor distT="0" distB="0" distL="114300" distR="114300" simplePos="0" relativeHeight="251651584" behindDoc="0" locked="0" layoutInCell="1" allowOverlap="1" wp14:anchorId="4539F4FC" wp14:editId="24F8DAB1">
                  <wp:simplePos x="0" y="0"/>
                  <wp:positionH relativeFrom="column">
                    <wp:posOffset>-65405</wp:posOffset>
                  </wp:positionH>
                  <wp:positionV relativeFrom="paragraph">
                    <wp:posOffset>1567180</wp:posOffset>
                  </wp:positionV>
                  <wp:extent cx="5974715" cy="54229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4715" cy="542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560" behindDoc="0" locked="0" layoutInCell="1" allowOverlap="1" wp14:anchorId="563F9E95" wp14:editId="589F8232">
                  <wp:simplePos x="0" y="0"/>
                  <wp:positionH relativeFrom="column">
                    <wp:posOffset>-65405</wp:posOffset>
                  </wp:positionH>
                  <wp:positionV relativeFrom="paragraph">
                    <wp:posOffset>1030605</wp:posOffset>
                  </wp:positionV>
                  <wp:extent cx="5899150" cy="53657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9150" cy="536575"/>
                          </a:xfrm>
                          <a:prstGeom prst="rect">
                            <a:avLst/>
                          </a:prstGeom>
                          <a:noFill/>
                        </pic:spPr>
                      </pic:pic>
                    </a:graphicData>
                  </a:graphic>
                  <wp14:sizeRelH relativeFrom="page">
                    <wp14:pctWidth>0</wp14:pctWidth>
                  </wp14:sizeRelH>
                  <wp14:sizeRelV relativeFrom="page">
                    <wp14:pctHeight>0</wp14:pctHeight>
                  </wp14:sizeRelV>
                </wp:anchor>
              </w:drawing>
            </w:r>
            <w:r w:rsidR="0081040D" w:rsidRPr="0081040D">
              <w:t xml:space="preserve">We have a </w:t>
            </w:r>
            <w:r w:rsidR="0081040D">
              <w:t>member of staff in the Maths department who is responsible for improving T&amp;L in Maths.</w:t>
            </w:r>
            <w:r w:rsidR="00626BC6">
              <w:t xml:space="preserve">  This includes contributing to improving performance in Maths by taking on key classes and developing T&amp;L in the department through shared resources.  This staff member leads the higher level GCSE Maths course and teachers along with mentoring NQT and ITT students.  This member of staff also leads the Maths Curriculum Plus offer.</w:t>
            </w:r>
            <w:r>
              <w:t xml:space="preserve">  EEF research suggests that these strategies contribute towards improving student progress by up to 5 months.</w:t>
            </w:r>
          </w:p>
        </w:tc>
        <w:tc>
          <w:tcPr>
            <w:tcW w:w="1359" w:type="dxa"/>
            <w:shd w:val="clear" w:color="auto" w:fill="FFFFFF" w:themeFill="background1"/>
          </w:tcPr>
          <w:p w14:paraId="3D734757" w14:textId="77777777" w:rsidR="00664D68" w:rsidRDefault="00664D68" w:rsidP="00445D04">
            <w:pPr>
              <w:jc w:val="center"/>
            </w:pPr>
          </w:p>
          <w:p w14:paraId="0A84AFA6" w14:textId="77777777" w:rsidR="00445D04" w:rsidRPr="00626BC6" w:rsidRDefault="00626BC6" w:rsidP="00445D04">
            <w:pPr>
              <w:jc w:val="center"/>
            </w:pPr>
            <w:r w:rsidRPr="00664D68">
              <w:t>£5,164</w:t>
            </w:r>
          </w:p>
        </w:tc>
      </w:tr>
      <w:tr w:rsidR="00241639" w:rsidRPr="001F0FFC" w14:paraId="0C9DF9F3" w14:textId="77777777" w:rsidTr="00B43DDE">
        <w:trPr>
          <w:trHeight w:val="7115"/>
          <w:tblHeader/>
          <w:jc w:val="center"/>
        </w:trPr>
        <w:tc>
          <w:tcPr>
            <w:tcW w:w="1696" w:type="dxa"/>
            <w:shd w:val="clear" w:color="auto" w:fill="D9D9D9" w:themeFill="background1" w:themeFillShade="D9"/>
          </w:tcPr>
          <w:p w14:paraId="52404CA2" w14:textId="77777777" w:rsidR="00241639" w:rsidRPr="0081040D" w:rsidRDefault="00241639" w:rsidP="00445D04">
            <w:pPr>
              <w:jc w:val="center"/>
            </w:pPr>
            <w:r>
              <w:lastRenderedPageBreak/>
              <w:t>Contribution to TLRs for Curriculum and Pastoral Leaders</w:t>
            </w:r>
          </w:p>
        </w:tc>
        <w:tc>
          <w:tcPr>
            <w:tcW w:w="1276" w:type="dxa"/>
            <w:shd w:val="clear" w:color="auto" w:fill="FFFFFF" w:themeFill="background1"/>
          </w:tcPr>
          <w:p w14:paraId="07C8B713" w14:textId="77777777" w:rsidR="00241639" w:rsidRDefault="00241639" w:rsidP="00241639">
            <w:pPr>
              <w:jc w:val="center"/>
            </w:pPr>
            <w:r>
              <w:t>JPR/SSP</w:t>
            </w:r>
          </w:p>
        </w:tc>
        <w:tc>
          <w:tcPr>
            <w:tcW w:w="1701" w:type="dxa"/>
            <w:shd w:val="clear" w:color="auto" w:fill="FFFFFF" w:themeFill="background1"/>
          </w:tcPr>
          <w:p w14:paraId="3A240DAC" w14:textId="77777777" w:rsidR="00241639" w:rsidRDefault="00241639" w:rsidP="00445D04">
            <w:pPr>
              <w:jc w:val="center"/>
            </w:pPr>
            <w:r>
              <w:t>P8 for PP students &gt;0.</w:t>
            </w:r>
          </w:p>
        </w:tc>
        <w:tc>
          <w:tcPr>
            <w:tcW w:w="9356" w:type="dxa"/>
            <w:shd w:val="clear" w:color="auto" w:fill="FFFFFF" w:themeFill="background1"/>
          </w:tcPr>
          <w:p w14:paraId="142D5B0D" w14:textId="5C30A088" w:rsidR="00241639" w:rsidRDefault="00B43DDE" w:rsidP="00241639">
            <w:pPr>
              <w:rPr>
                <w:rFonts w:eastAsia="Arial" w:cs="Arial"/>
              </w:rPr>
            </w:pPr>
            <w:r w:rsidRPr="00664D68">
              <w:rPr>
                <w:noProof/>
                <w:lang w:eastAsia="en-GB"/>
              </w:rPr>
              <w:drawing>
                <wp:anchor distT="0" distB="0" distL="114300" distR="114300" simplePos="0" relativeHeight="251659776" behindDoc="0" locked="0" layoutInCell="1" allowOverlap="1" wp14:anchorId="593E967A" wp14:editId="49D27A8F">
                  <wp:simplePos x="0" y="0"/>
                  <wp:positionH relativeFrom="column">
                    <wp:posOffset>-65405</wp:posOffset>
                  </wp:positionH>
                  <wp:positionV relativeFrom="paragraph">
                    <wp:posOffset>3946525</wp:posOffset>
                  </wp:positionV>
                  <wp:extent cx="6000750" cy="454025"/>
                  <wp:effectExtent l="0" t="0" r="0" b="317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1940" b="13434"/>
                          <a:stretch/>
                        </pic:blipFill>
                        <pic:spPr bwMode="auto">
                          <a:xfrm>
                            <a:off x="0" y="0"/>
                            <a:ext cx="6000750" cy="45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4D68">
              <w:rPr>
                <w:noProof/>
                <w:lang w:eastAsia="en-GB"/>
              </w:rPr>
              <w:drawing>
                <wp:anchor distT="0" distB="0" distL="114300" distR="114300" simplePos="0" relativeHeight="251660800" behindDoc="0" locked="0" layoutInCell="1" allowOverlap="1" wp14:anchorId="2F37C739" wp14:editId="6B930412">
                  <wp:simplePos x="0" y="0"/>
                  <wp:positionH relativeFrom="column">
                    <wp:posOffset>59055</wp:posOffset>
                  </wp:positionH>
                  <wp:positionV relativeFrom="paragraph">
                    <wp:posOffset>3315335</wp:posOffset>
                  </wp:positionV>
                  <wp:extent cx="5803900" cy="522605"/>
                  <wp:effectExtent l="0" t="0" r="635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803900" cy="522605"/>
                          </a:xfrm>
                          <a:prstGeom prst="rect">
                            <a:avLst/>
                          </a:prstGeom>
                        </pic:spPr>
                      </pic:pic>
                    </a:graphicData>
                  </a:graphic>
                  <wp14:sizeRelH relativeFrom="page">
                    <wp14:pctWidth>0</wp14:pctWidth>
                  </wp14:sizeRelH>
                  <wp14:sizeRelV relativeFrom="page">
                    <wp14:pctHeight>0</wp14:pctHeight>
                  </wp14:sizeRelV>
                </wp:anchor>
              </w:drawing>
            </w:r>
            <w:r w:rsidRPr="00664D68">
              <w:rPr>
                <w:noProof/>
                <w:lang w:eastAsia="en-GB"/>
              </w:rPr>
              <w:drawing>
                <wp:anchor distT="0" distB="0" distL="114300" distR="114300" simplePos="0" relativeHeight="251652608" behindDoc="0" locked="0" layoutInCell="1" allowOverlap="1" wp14:anchorId="55FE1082" wp14:editId="6585C1BF">
                  <wp:simplePos x="0" y="0"/>
                  <wp:positionH relativeFrom="column">
                    <wp:posOffset>64134</wp:posOffset>
                  </wp:positionH>
                  <wp:positionV relativeFrom="paragraph">
                    <wp:posOffset>2324100</wp:posOffset>
                  </wp:positionV>
                  <wp:extent cx="5715000" cy="513251"/>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513251"/>
                          </a:xfrm>
                          <a:prstGeom prst="rect">
                            <a:avLst/>
                          </a:prstGeom>
                          <a:noFill/>
                        </pic:spPr>
                      </pic:pic>
                    </a:graphicData>
                  </a:graphic>
                  <wp14:sizeRelH relativeFrom="page">
                    <wp14:pctWidth>0</wp14:pctWidth>
                  </wp14:sizeRelH>
                  <wp14:sizeRelV relativeFrom="page">
                    <wp14:pctHeight>0</wp14:pctHeight>
                  </wp14:sizeRelV>
                </wp:anchor>
              </w:drawing>
            </w:r>
            <w:r w:rsidRPr="00664D68">
              <w:rPr>
                <w:noProof/>
                <w:lang w:eastAsia="en-GB"/>
              </w:rPr>
              <w:drawing>
                <wp:anchor distT="0" distB="0" distL="114300" distR="114300" simplePos="0" relativeHeight="251658752" behindDoc="0" locked="0" layoutInCell="1" allowOverlap="1" wp14:anchorId="4801F787" wp14:editId="1FFF136A">
                  <wp:simplePos x="0" y="0"/>
                  <wp:positionH relativeFrom="column">
                    <wp:posOffset>62865</wp:posOffset>
                  </wp:positionH>
                  <wp:positionV relativeFrom="paragraph">
                    <wp:posOffset>2832735</wp:posOffset>
                  </wp:positionV>
                  <wp:extent cx="5715000" cy="474345"/>
                  <wp:effectExtent l="0" t="0" r="0" b="190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15000" cy="474345"/>
                          </a:xfrm>
                          <a:prstGeom prst="rect">
                            <a:avLst/>
                          </a:prstGeom>
                        </pic:spPr>
                      </pic:pic>
                    </a:graphicData>
                  </a:graphic>
                  <wp14:sizeRelH relativeFrom="page">
                    <wp14:pctWidth>0</wp14:pctWidth>
                  </wp14:sizeRelH>
                  <wp14:sizeRelV relativeFrom="page">
                    <wp14:pctHeight>0</wp14:pctHeight>
                  </wp14:sizeRelV>
                </wp:anchor>
              </w:drawing>
            </w:r>
            <w:r w:rsidRPr="00664D68">
              <w:rPr>
                <w:noProof/>
                <w:lang w:eastAsia="en-GB"/>
              </w:rPr>
              <w:drawing>
                <wp:anchor distT="0" distB="0" distL="114300" distR="114300" simplePos="0" relativeHeight="251656704" behindDoc="0" locked="0" layoutInCell="1" allowOverlap="1" wp14:anchorId="26419511" wp14:editId="70228C17">
                  <wp:simplePos x="0" y="0"/>
                  <wp:positionH relativeFrom="column">
                    <wp:posOffset>62518</wp:posOffset>
                  </wp:positionH>
                  <wp:positionV relativeFrom="paragraph">
                    <wp:posOffset>1799590</wp:posOffset>
                  </wp:positionV>
                  <wp:extent cx="5803900" cy="519389"/>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3900" cy="519389"/>
                          </a:xfrm>
                          <a:prstGeom prst="rect">
                            <a:avLst/>
                          </a:prstGeom>
                          <a:noFill/>
                        </pic:spPr>
                      </pic:pic>
                    </a:graphicData>
                  </a:graphic>
                  <wp14:sizeRelH relativeFrom="page">
                    <wp14:pctWidth>0</wp14:pctWidth>
                  </wp14:sizeRelH>
                  <wp14:sizeRelV relativeFrom="page">
                    <wp14:pctHeight>0</wp14:pctHeight>
                  </wp14:sizeRelV>
                </wp:anchor>
              </w:drawing>
            </w:r>
            <w:r w:rsidR="00241639" w:rsidRPr="00BB5EAC">
              <w:rPr>
                <w:rFonts w:eastAsia="Arial" w:cs="Arial"/>
              </w:rPr>
              <w:t>Curriculum Leaders and Heads of House are required to identify, monitor and evaluate impact of interventions put in place for identified key students.</w:t>
            </w:r>
            <w:r w:rsidR="00241639">
              <w:rPr>
                <w:rFonts w:eastAsia="Arial" w:cs="Arial"/>
              </w:rPr>
              <w:t xml:space="preserve">  This could include small group interventions, behaviour interventions, homework and feedback.</w:t>
            </w:r>
            <w:r w:rsidR="00241639" w:rsidRPr="00BB5EAC">
              <w:rPr>
                <w:rFonts w:eastAsia="Arial" w:cs="Arial"/>
              </w:rPr>
              <w:t xml:space="preserve">  </w:t>
            </w:r>
            <w:r w:rsidR="00241639" w:rsidRPr="00620449">
              <w:rPr>
                <w:rFonts w:eastAsia="Arial" w:cs="Arial"/>
              </w:rPr>
              <w:t>These are discussed at SLT line management meetings</w:t>
            </w:r>
            <w:r w:rsidR="00727478" w:rsidRPr="00620449">
              <w:rPr>
                <w:rFonts w:eastAsia="Arial" w:cs="Arial"/>
              </w:rPr>
              <w:t xml:space="preserve"> and pre</w:t>
            </w:r>
            <w:r w:rsidR="005A27F2" w:rsidRPr="00620449">
              <w:rPr>
                <w:rFonts w:eastAsia="Arial" w:cs="Arial"/>
              </w:rPr>
              <w:t>sented/discussed regularly by Curriculum Leaders and Pastoral Leaders at</w:t>
            </w:r>
            <w:r w:rsidR="00727478" w:rsidRPr="00620449">
              <w:rPr>
                <w:rFonts w:eastAsia="Arial" w:cs="Arial"/>
              </w:rPr>
              <w:t xml:space="preserve"> RIP and Zorba meetings</w:t>
            </w:r>
            <w:r w:rsidRPr="00620449">
              <w:rPr>
                <w:rFonts w:eastAsia="Arial" w:cs="Arial"/>
              </w:rPr>
              <w:t xml:space="preserve"> with the senior</w:t>
            </w:r>
            <w:r w:rsidR="005A27F2" w:rsidRPr="00620449">
              <w:rPr>
                <w:rFonts w:eastAsia="Arial" w:cs="Arial"/>
              </w:rPr>
              <w:t xml:space="preserve"> team</w:t>
            </w:r>
            <w:r w:rsidR="00241639" w:rsidRPr="00620449">
              <w:rPr>
                <w:rFonts w:eastAsia="Arial" w:cs="Arial"/>
              </w:rPr>
              <w:t>.</w:t>
            </w:r>
            <w:r w:rsidRPr="00620449">
              <w:rPr>
                <w:rFonts w:eastAsia="Arial" w:cs="Arial"/>
              </w:rPr>
              <w:t xml:space="preserve">  RIP meetings involve detailed analysis and discussion of a particular Curriculum area or House and Zorba meetings focus on particular students identified for underachievement to identify barriers to learning and strategies to address this.</w:t>
            </w:r>
            <w:r w:rsidR="00241639" w:rsidRPr="00620449">
              <w:rPr>
                <w:rFonts w:eastAsia="Arial" w:cs="Arial"/>
              </w:rPr>
              <w:t xml:space="preserve">  Curriculum Leaders are also responsible for ensuring high standards of Teaching &amp; Learning in their</w:t>
            </w:r>
            <w:r w:rsidR="00241639">
              <w:rPr>
                <w:rFonts w:eastAsia="Arial" w:cs="Arial"/>
              </w:rPr>
              <w:t xml:space="preserve"> areas.  Heads of Years are invaluable in maintaining parental engagement within their House.</w:t>
            </w:r>
            <w:r>
              <w:rPr>
                <w:rFonts w:eastAsia="Arial" w:cs="Arial"/>
              </w:rPr>
              <w:t xml:space="preserve">  EEF estimates that the strategies these staff lead can contribute to adding up to 8 months’ progress to students.</w:t>
            </w:r>
          </w:p>
          <w:p w14:paraId="2B0AB3DA" w14:textId="7A885BA4" w:rsidR="00241639" w:rsidRPr="001744AB" w:rsidRDefault="00241639" w:rsidP="00241639">
            <w:pPr>
              <w:rPr>
                <w:rFonts w:eastAsia="Arial" w:cs="Arial"/>
              </w:rPr>
            </w:pPr>
          </w:p>
        </w:tc>
        <w:tc>
          <w:tcPr>
            <w:tcW w:w="1359" w:type="dxa"/>
            <w:shd w:val="clear" w:color="auto" w:fill="FFFFFF" w:themeFill="background1"/>
          </w:tcPr>
          <w:p w14:paraId="54A27987" w14:textId="77777777" w:rsidR="00664D68" w:rsidRDefault="00664D68" w:rsidP="00445D04">
            <w:pPr>
              <w:jc w:val="center"/>
            </w:pPr>
          </w:p>
          <w:p w14:paraId="781D06E2" w14:textId="0AFD5BA5" w:rsidR="00241639" w:rsidRPr="00626BC6" w:rsidRDefault="00086558" w:rsidP="00445D04">
            <w:pPr>
              <w:jc w:val="center"/>
              <w:rPr>
                <w:highlight w:val="yellow"/>
              </w:rPr>
            </w:pPr>
            <w:r>
              <w:t>£35</w:t>
            </w:r>
            <w:r w:rsidR="00D85A36" w:rsidRPr="00664D68">
              <w:t>,000</w:t>
            </w:r>
          </w:p>
        </w:tc>
      </w:tr>
    </w:tbl>
    <w:p w14:paraId="238A9DD8" w14:textId="77777777" w:rsidR="00086A94" w:rsidRDefault="00086A94" w:rsidP="00947235">
      <w:pPr>
        <w:spacing w:before="100" w:beforeAutospacing="1" w:after="100" w:afterAutospacing="1" w:line="240" w:lineRule="auto"/>
        <w:rPr>
          <w:rFonts w:ascii="Calibri" w:eastAsia="Calibri" w:hAnsi="Calibri" w:cs="Times New Roman"/>
          <w:b/>
          <w:sz w:val="24"/>
          <w:szCs w:val="24"/>
          <w:lang w:val="en"/>
        </w:rPr>
      </w:pPr>
    </w:p>
    <w:p w14:paraId="23B83BD6" w14:textId="16DA91C4" w:rsidR="001744AB" w:rsidRDefault="001744AB" w:rsidP="00947235">
      <w:pPr>
        <w:spacing w:before="100" w:beforeAutospacing="1" w:after="100" w:afterAutospacing="1" w:line="240" w:lineRule="auto"/>
        <w:rPr>
          <w:rFonts w:ascii="Calibri" w:eastAsia="Calibri" w:hAnsi="Calibri" w:cs="Times New Roman"/>
          <w:b/>
          <w:sz w:val="24"/>
          <w:szCs w:val="24"/>
          <w:lang w:val="en"/>
        </w:rPr>
      </w:pPr>
    </w:p>
    <w:p w14:paraId="6DDC43F3" w14:textId="77777777" w:rsidR="00947235" w:rsidRPr="000670ED" w:rsidRDefault="00947235" w:rsidP="00947235">
      <w:pPr>
        <w:spacing w:before="100" w:beforeAutospacing="1" w:after="100" w:afterAutospacing="1" w:line="240" w:lineRule="auto"/>
        <w:rPr>
          <w:rFonts w:ascii="Calibri" w:eastAsia="Calibri" w:hAnsi="Calibri" w:cs="Times New Roman"/>
          <w:b/>
          <w:sz w:val="24"/>
          <w:szCs w:val="24"/>
          <w:lang w:val="en"/>
        </w:rPr>
      </w:pPr>
      <w:r w:rsidRPr="000670ED">
        <w:rPr>
          <w:rFonts w:ascii="Calibri" w:eastAsia="Calibri" w:hAnsi="Calibri" w:cs="Times New Roman"/>
          <w:b/>
          <w:sz w:val="24"/>
          <w:szCs w:val="24"/>
          <w:lang w:val="en"/>
        </w:rPr>
        <w:t>2. Targeting support for disadvantaged pupils through evidence-based interventions</w:t>
      </w:r>
    </w:p>
    <w:tbl>
      <w:tblPr>
        <w:tblStyle w:val="TableGrid"/>
        <w:tblpPr w:leftFromText="180" w:rightFromText="180" w:vertAnchor="text" w:tblpXSpec="center" w:tblpY="1"/>
        <w:tblOverlap w:val="never"/>
        <w:tblW w:w="15388" w:type="dxa"/>
        <w:tblLayout w:type="fixed"/>
        <w:tblLook w:val="04A0" w:firstRow="1" w:lastRow="0" w:firstColumn="1" w:lastColumn="0" w:noHBand="0" w:noVBand="1"/>
      </w:tblPr>
      <w:tblGrid>
        <w:gridCol w:w="1696"/>
        <w:gridCol w:w="1276"/>
        <w:gridCol w:w="1701"/>
        <w:gridCol w:w="9506"/>
        <w:gridCol w:w="1209"/>
      </w:tblGrid>
      <w:tr w:rsidR="00445D04" w:rsidRPr="001F0FFC" w14:paraId="22E7C0F8" w14:textId="77777777" w:rsidTr="00307070">
        <w:trPr>
          <w:tblHeader/>
        </w:trPr>
        <w:tc>
          <w:tcPr>
            <w:tcW w:w="1696" w:type="dxa"/>
            <w:shd w:val="clear" w:color="auto" w:fill="D9D9D9" w:themeFill="background1" w:themeFillShade="D9"/>
          </w:tcPr>
          <w:p w14:paraId="3627BEDC" w14:textId="77777777" w:rsidR="00445D04" w:rsidRDefault="00D46A2B" w:rsidP="00307070">
            <w:pPr>
              <w:jc w:val="center"/>
              <w:rPr>
                <w:b/>
              </w:rPr>
            </w:pPr>
            <w:r>
              <w:rPr>
                <w:b/>
              </w:rPr>
              <w:t>2019/20</w:t>
            </w:r>
          </w:p>
          <w:p w14:paraId="2DD1C1E2" w14:textId="77777777" w:rsidR="00445D04" w:rsidRPr="00D004B8" w:rsidRDefault="00445D04" w:rsidP="00307070">
            <w:pPr>
              <w:jc w:val="center"/>
              <w:rPr>
                <w:b/>
              </w:rPr>
            </w:pPr>
            <w:r w:rsidRPr="00D004B8">
              <w:rPr>
                <w:b/>
              </w:rPr>
              <w:t>Strategies</w:t>
            </w:r>
          </w:p>
        </w:tc>
        <w:tc>
          <w:tcPr>
            <w:tcW w:w="1276" w:type="dxa"/>
            <w:shd w:val="clear" w:color="auto" w:fill="D9D9D9" w:themeFill="background1" w:themeFillShade="D9"/>
          </w:tcPr>
          <w:p w14:paraId="6307CB46" w14:textId="77777777" w:rsidR="00445D04" w:rsidRDefault="00445D04" w:rsidP="00307070">
            <w:pPr>
              <w:jc w:val="center"/>
              <w:rPr>
                <w:b/>
              </w:rPr>
            </w:pPr>
            <w:r>
              <w:rPr>
                <w:b/>
              </w:rPr>
              <w:t>Person responsible</w:t>
            </w:r>
          </w:p>
        </w:tc>
        <w:tc>
          <w:tcPr>
            <w:tcW w:w="1701" w:type="dxa"/>
            <w:shd w:val="clear" w:color="auto" w:fill="D9D9D9" w:themeFill="background1" w:themeFillShade="D9"/>
          </w:tcPr>
          <w:p w14:paraId="3D0E23E8" w14:textId="77777777" w:rsidR="00445D04" w:rsidRDefault="00445D04" w:rsidP="00307070">
            <w:pPr>
              <w:jc w:val="center"/>
              <w:rPr>
                <w:b/>
              </w:rPr>
            </w:pPr>
            <w:r>
              <w:rPr>
                <w:b/>
              </w:rPr>
              <w:t>Intended outcomes</w:t>
            </w:r>
          </w:p>
          <w:p w14:paraId="62844F33" w14:textId="77777777" w:rsidR="00445D04" w:rsidRDefault="00445D04" w:rsidP="00307070">
            <w:pPr>
              <w:rPr>
                <w:b/>
              </w:rPr>
            </w:pPr>
          </w:p>
        </w:tc>
        <w:tc>
          <w:tcPr>
            <w:tcW w:w="9506" w:type="dxa"/>
            <w:shd w:val="clear" w:color="auto" w:fill="D9D9D9" w:themeFill="background1" w:themeFillShade="D9"/>
          </w:tcPr>
          <w:p w14:paraId="08DF4227" w14:textId="77777777" w:rsidR="00445D04" w:rsidRDefault="00445D04" w:rsidP="00307070">
            <w:pPr>
              <w:jc w:val="center"/>
              <w:rPr>
                <w:b/>
              </w:rPr>
            </w:pPr>
            <w:r>
              <w:rPr>
                <w:b/>
              </w:rPr>
              <w:t>Rationale &amp; evidence</w:t>
            </w:r>
          </w:p>
          <w:p w14:paraId="77F997D9" w14:textId="77777777" w:rsidR="00445D04" w:rsidRDefault="00445D04" w:rsidP="00307070">
            <w:pPr>
              <w:jc w:val="center"/>
              <w:rPr>
                <w:b/>
              </w:rPr>
            </w:pPr>
            <w:r>
              <w:rPr>
                <w:b/>
              </w:rPr>
              <w:t>(previous experience &amp; EEF toolkit)</w:t>
            </w:r>
          </w:p>
          <w:p w14:paraId="3D435D30" w14:textId="77777777" w:rsidR="00445D04" w:rsidRPr="00E10B44" w:rsidRDefault="00445D04" w:rsidP="00307070">
            <w:pPr>
              <w:rPr>
                <w:b/>
              </w:rPr>
            </w:pPr>
            <w:r>
              <w:rPr>
                <w:b/>
              </w:rPr>
              <w:t xml:space="preserve"> </w:t>
            </w:r>
          </w:p>
        </w:tc>
        <w:tc>
          <w:tcPr>
            <w:tcW w:w="1209" w:type="dxa"/>
            <w:shd w:val="clear" w:color="auto" w:fill="D9D9D9" w:themeFill="background1" w:themeFillShade="D9"/>
          </w:tcPr>
          <w:p w14:paraId="5C5ACFEE" w14:textId="77777777" w:rsidR="00445D04" w:rsidRPr="001F0FFC" w:rsidRDefault="00445D04" w:rsidP="00307070">
            <w:pPr>
              <w:jc w:val="center"/>
              <w:rPr>
                <w:b/>
              </w:rPr>
            </w:pPr>
            <w:r>
              <w:rPr>
                <w:b/>
              </w:rPr>
              <w:t xml:space="preserve">Budgeted Cost </w:t>
            </w:r>
          </w:p>
        </w:tc>
      </w:tr>
      <w:tr w:rsidR="00445D04" w:rsidRPr="001F0FFC" w14:paraId="62ACE062" w14:textId="77777777" w:rsidTr="00307070">
        <w:tc>
          <w:tcPr>
            <w:tcW w:w="1696" w:type="dxa"/>
            <w:shd w:val="clear" w:color="auto" w:fill="D9D9D9" w:themeFill="background1" w:themeFillShade="D9"/>
          </w:tcPr>
          <w:p w14:paraId="2FE2A5F6" w14:textId="77777777" w:rsidR="00445D04" w:rsidRPr="004D6BA2" w:rsidRDefault="00445D04" w:rsidP="00307070">
            <w:pPr>
              <w:jc w:val="center"/>
              <w:rPr>
                <w:color w:val="000000" w:themeColor="text1"/>
              </w:rPr>
            </w:pPr>
            <w:r w:rsidRPr="004D6BA2">
              <w:rPr>
                <w:color w:val="000000" w:themeColor="text1"/>
              </w:rPr>
              <w:t>Small group Tuition</w:t>
            </w:r>
          </w:p>
          <w:p w14:paraId="2505AD3A" w14:textId="77777777" w:rsidR="00445D04" w:rsidRPr="002D0466" w:rsidRDefault="00445D04" w:rsidP="00307070">
            <w:pPr>
              <w:jc w:val="center"/>
              <w:rPr>
                <w:color w:val="000000" w:themeColor="text1"/>
                <w:highlight w:val="yellow"/>
              </w:rPr>
            </w:pPr>
            <w:r w:rsidRPr="004D6BA2">
              <w:rPr>
                <w:color w:val="000000" w:themeColor="text1"/>
              </w:rPr>
              <w:t>English, Maths &amp; Science</w:t>
            </w:r>
          </w:p>
        </w:tc>
        <w:tc>
          <w:tcPr>
            <w:tcW w:w="1276" w:type="dxa"/>
          </w:tcPr>
          <w:p w14:paraId="65D36242" w14:textId="77777777" w:rsidR="00445D04" w:rsidRPr="006F7043" w:rsidRDefault="00445D04" w:rsidP="00307070">
            <w:pPr>
              <w:jc w:val="center"/>
            </w:pPr>
            <w:r w:rsidRPr="006F7043">
              <w:t>RBE, KKN, RTO</w:t>
            </w:r>
          </w:p>
          <w:p w14:paraId="796D7629" w14:textId="77777777" w:rsidR="00445D04" w:rsidRPr="002D0466" w:rsidRDefault="00445D04" w:rsidP="00307070">
            <w:pPr>
              <w:rPr>
                <w:highlight w:val="yellow"/>
              </w:rPr>
            </w:pPr>
          </w:p>
        </w:tc>
        <w:tc>
          <w:tcPr>
            <w:tcW w:w="1701" w:type="dxa"/>
          </w:tcPr>
          <w:p w14:paraId="775AEA38" w14:textId="77777777" w:rsidR="00445D04" w:rsidRPr="006F7043" w:rsidRDefault="00445D04" w:rsidP="00307070">
            <w:r w:rsidRPr="006F7043">
              <w:t>P8 for PP students &gt;0.</w:t>
            </w:r>
          </w:p>
          <w:p w14:paraId="75D852C3" w14:textId="77777777" w:rsidR="00445D04" w:rsidRPr="002D0466" w:rsidRDefault="00445D04" w:rsidP="00307070">
            <w:pPr>
              <w:pStyle w:val="ListParagraph"/>
              <w:ind w:left="360"/>
              <w:rPr>
                <w:highlight w:val="yellow"/>
              </w:rPr>
            </w:pPr>
          </w:p>
          <w:p w14:paraId="06EBFCC1" w14:textId="77777777" w:rsidR="00445D04" w:rsidRPr="002D0466" w:rsidRDefault="00445D04" w:rsidP="00307070">
            <w:pPr>
              <w:rPr>
                <w:highlight w:val="yellow"/>
              </w:rPr>
            </w:pPr>
          </w:p>
        </w:tc>
        <w:tc>
          <w:tcPr>
            <w:tcW w:w="9506" w:type="dxa"/>
          </w:tcPr>
          <w:p w14:paraId="264C199C" w14:textId="6B9BA635" w:rsidR="00445D04" w:rsidRPr="00664D68" w:rsidRDefault="00445D04" w:rsidP="00E202A4">
            <w:r w:rsidRPr="00664D68">
              <w:t xml:space="preserve">Evidence shows that outcomes are positively affected when students are provided with high quality, small group </w:t>
            </w:r>
            <w:r w:rsidRPr="00620449">
              <w:t xml:space="preserve">tuition. The EEF estimates that this strategy can contribute to adding 4 months’ progress to students who take part. At Bolsover, </w:t>
            </w:r>
            <w:r w:rsidR="000670ED" w:rsidRPr="00620449">
              <w:t>core subjects</w:t>
            </w:r>
            <w:r w:rsidRPr="00620449">
              <w:t xml:space="preserve"> have been overstaffed with subject specialists for 2</w:t>
            </w:r>
            <w:r w:rsidR="00727478" w:rsidRPr="00620449">
              <w:t>019/20</w:t>
            </w:r>
            <w:r w:rsidRPr="00620449">
              <w:t xml:space="preserve"> in order to facilitate small group tuition and also provide flexibility in the timetable to implement small group</w:t>
            </w:r>
            <w:r w:rsidRPr="00664D68">
              <w:t xml:space="preserve"> intervention as and when necessary. </w:t>
            </w:r>
            <w:r w:rsidR="005E6988">
              <w:t xml:space="preserve"> </w:t>
            </w:r>
            <w:r w:rsidRPr="00664D68">
              <w:t xml:space="preserve">In-school teaching staff (rather than externally hired tutors) will deliver the tuition as knowledge of students’ strengths and weaknesses as well as their personalities is important in raising achievement and progress. </w:t>
            </w:r>
            <w:r w:rsidR="001744AB">
              <w:t xml:space="preserve"> </w:t>
            </w:r>
            <w:r w:rsidRPr="00664D68">
              <w:t>Small group tuition also takes place during a 30 minute daily tutor session with English, Maths and Science subject specialists kept available to deliver these sessions.</w:t>
            </w:r>
          </w:p>
          <w:p w14:paraId="507F3091" w14:textId="77777777" w:rsidR="00445D04" w:rsidRPr="00664D68" w:rsidRDefault="00445D04" w:rsidP="00307070">
            <w:r w:rsidRPr="00664D68">
              <w:rPr>
                <w:noProof/>
                <w:lang w:eastAsia="en-GB"/>
              </w:rPr>
              <w:drawing>
                <wp:inline distT="0" distB="0" distL="0" distR="0" wp14:anchorId="48271550" wp14:editId="1E6985B1">
                  <wp:extent cx="6086475" cy="6191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86475" cy="619125"/>
                          </a:xfrm>
                          <a:prstGeom prst="rect">
                            <a:avLst/>
                          </a:prstGeom>
                        </pic:spPr>
                      </pic:pic>
                    </a:graphicData>
                  </a:graphic>
                </wp:inline>
              </w:drawing>
            </w:r>
          </w:p>
        </w:tc>
        <w:tc>
          <w:tcPr>
            <w:tcW w:w="1209" w:type="dxa"/>
          </w:tcPr>
          <w:p w14:paraId="3A76FBAD" w14:textId="77777777" w:rsidR="00664D68" w:rsidRDefault="00664D68" w:rsidP="00307070">
            <w:pPr>
              <w:jc w:val="center"/>
              <w:rPr>
                <w:rFonts w:ascii="Calibri" w:hAnsi="Calibri"/>
                <w:color w:val="000000" w:themeColor="text1"/>
                <w:shd w:val="clear" w:color="auto" w:fill="FFFFFF"/>
              </w:rPr>
            </w:pPr>
          </w:p>
          <w:p w14:paraId="01A1DCE4" w14:textId="77777777" w:rsidR="00445D04" w:rsidRPr="001F0FFC" w:rsidRDefault="006F7043" w:rsidP="00307070">
            <w:pPr>
              <w:jc w:val="center"/>
              <w:rPr>
                <w:color w:val="000000" w:themeColor="text1"/>
              </w:rPr>
            </w:pPr>
            <w:r>
              <w:rPr>
                <w:rFonts w:ascii="Calibri" w:hAnsi="Calibri"/>
                <w:color w:val="000000" w:themeColor="text1"/>
                <w:shd w:val="clear" w:color="auto" w:fill="FFFFFF"/>
              </w:rPr>
              <w:t>£25,000</w:t>
            </w:r>
          </w:p>
          <w:p w14:paraId="39A3BD6B" w14:textId="77777777" w:rsidR="00445D04" w:rsidRPr="001F0FFC" w:rsidRDefault="00445D04" w:rsidP="00307070">
            <w:pPr>
              <w:jc w:val="center"/>
              <w:rPr>
                <w:color w:val="000000" w:themeColor="text1"/>
              </w:rPr>
            </w:pPr>
          </w:p>
          <w:p w14:paraId="59A67A40" w14:textId="77777777" w:rsidR="00445D04" w:rsidRPr="001F0FFC" w:rsidRDefault="00445D04" w:rsidP="00307070">
            <w:pPr>
              <w:jc w:val="center"/>
              <w:rPr>
                <w:color w:val="000000" w:themeColor="text1"/>
              </w:rPr>
            </w:pPr>
          </w:p>
        </w:tc>
      </w:tr>
      <w:tr w:rsidR="00307070" w:rsidRPr="001F0FFC" w14:paraId="21C1643A" w14:textId="77777777" w:rsidTr="00307070">
        <w:tc>
          <w:tcPr>
            <w:tcW w:w="1696" w:type="dxa"/>
            <w:shd w:val="clear" w:color="auto" w:fill="D9D9D9" w:themeFill="background1" w:themeFillShade="D9"/>
          </w:tcPr>
          <w:p w14:paraId="1D290877" w14:textId="77777777" w:rsidR="00307070" w:rsidRPr="005F76C4" w:rsidRDefault="00307070" w:rsidP="00307070">
            <w:pPr>
              <w:jc w:val="center"/>
            </w:pPr>
            <w:r w:rsidRPr="005F76C4">
              <w:lastRenderedPageBreak/>
              <w:t>PP Lead Staff</w:t>
            </w:r>
          </w:p>
        </w:tc>
        <w:tc>
          <w:tcPr>
            <w:tcW w:w="1276" w:type="dxa"/>
          </w:tcPr>
          <w:p w14:paraId="4A36702E" w14:textId="1C73C34A" w:rsidR="00307070" w:rsidRPr="005F76C4" w:rsidRDefault="00C815F1" w:rsidP="00307070">
            <w:pPr>
              <w:jc w:val="center"/>
            </w:pPr>
            <w:r>
              <w:t>AMI</w:t>
            </w:r>
          </w:p>
        </w:tc>
        <w:tc>
          <w:tcPr>
            <w:tcW w:w="1701" w:type="dxa"/>
          </w:tcPr>
          <w:p w14:paraId="257A8255" w14:textId="77777777" w:rsidR="00307070" w:rsidRPr="002D0466" w:rsidRDefault="000670ED" w:rsidP="00307070">
            <w:pPr>
              <w:rPr>
                <w:highlight w:val="yellow"/>
              </w:rPr>
            </w:pPr>
            <w:r w:rsidRPr="000670ED">
              <w:t>Raise profile and outcomes of PP students</w:t>
            </w:r>
            <w:r>
              <w:t>.</w:t>
            </w:r>
          </w:p>
        </w:tc>
        <w:tc>
          <w:tcPr>
            <w:tcW w:w="9506" w:type="dxa"/>
          </w:tcPr>
          <w:p w14:paraId="67E6C6C0" w14:textId="12663CA3" w:rsidR="00052EC8" w:rsidRPr="00664D68" w:rsidRDefault="001744AB" w:rsidP="00727478">
            <w:r w:rsidRPr="00664D68">
              <w:rPr>
                <w:noProof/>
                <w:lang w:eastAsia="en-GB"/>
              </w:rPr>
              <w:drawing>
                <wp:anchor distT="0" distB="0" distL="114300" distR="114300" simplePos="0" relativeHeight="251661824" behindDoc="0" locked="0" layoutInCell="1" allowOverlap="1" wp14:anchorId="513A92CB" wp14:editId="591F3298">
                  <wp:simplePos x="0" y="0"/>
                  <wp:positionH relativeFrom="column">
                    <wp:posOffset>1270</wp:posOffset>
                  </wp:positionH>
                  <wp:positionV relativeFrom="paragraph">
                    <wp:posOffset>919480</wp:posOffset>
                  </wp:positionV>
                  <wp:extent cx="5899150" cy="540385"/>
                  <wp:effectExtent l="0" t="0" r="635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99150" cy="540385"/>
                          </a:xfrm>
                          <a:prstGeom prst="rect">
                            <a:avLst/>
                          </a:prstGeom>
                        </pic:spPr>
                      </pic:pic>
                    </a:graphicData>
                  </a:graphic>
                  <wp14:sizeRelH relativeFrom="page">
                    <wp14:pctWidth>0</wp14:pctWidth>
                  </wp14:sizeRelH>
                  <wp14:sizeRelV relativeFrom="page">
                    <wp14:pctHeight>0</wp14:pctHeight>
                  </wp14:sizeRelV>
                </wp:anchor>
              </w:drawing>
            </w:r>
            <w:r w:rsidR="00307070" w:rsidRPr="00664D68">
              <w:t>In 2019-20 we have an Associate Assista</w:t>
            </w:r>
            <w:r w:rsidR="00727478">
              <w:t>nt Headteacher who leads on PP.  This member of staff has</w:t>
            </w:r>
            <w:r w:rsidR="00307070" w:rsidRPr="00664D68">
              <w:t xml:space="preserve"> been employed with a remit of improving outcomes for PP students.  This will include a whole school peer tutoring programme where students in Y8 and Y9 will work </w:t>
            </w:r>
            <w:r w:rsidR="00052EC8" w:rsidRPr="00664D68">
              <w:t xml:space="preserve">with Y7 students to help them address any areas of weakness in their </w:t>
            </w:r>
            <w:r w:rsidR="00052EC8" w:rsidRPr="00620449">
              <w:t xml:space="preserve">studies.  </w:t>
            </w:r>
            <w:r w:rsidR="00C815F1" w:rsidRPr="00620449">
              <w:t>EEF estimates that this sort of intervention can add up to 5 months’ progress to students who take part.</w:t>
            </w:r>
          </w:p>
        </w:tc>
        <w:tc>
          <w:tcPr>
            <w:tcW w:w="1209" w:type="dxa"/>
          </w:tcPr>
          <w:p w14:paraId="1B63A5B8" w14:textId="77777777" w:rsidR="00664D68" w:rsidRDefault="00664D68" w:rsidP="00307070">
            <w:pPr>
              <w:jc w:val="center"/>
              <w:rPr>
                <w:rFonts w:ascii="Calibri" w:hAnsi="Calibri"/>
                <w:color w:val="000000" w:themeColor="text1"/>
                <w:shd w:val="clear" w:color="auto" w:fill="FFFFFF"/>
              </w:rPr>
            </w:pPr>
          </w:p>
          <w:p w14:paraId="58D941E2" w14:textId="77777777" w:rsidR="00307070" w:rsidRPr="006F7043" w:rsidRDefault="005F76C4" w:rsidP="00307070">
            <w:pPr>
              <w:jc w:val="center"/>
              <w:rPr>
                <w:rFonts w:ascii="Calibri" w:hAnsi="Calibri"/>
                <w:color w:val="000000" w:themeColor="text1"/>
                <w:highlight w:val="yellow"/>
                <w:shd w:val="clear" w:color="auto" w:fill="FFFFFF"/>
              </w:rPr>
            </w:pPr>
            <w:r w:rsidRPr="005F76C4">
              <w:rPr>
                <w:rFonts w:ascii="Calibri" w:hAnsi="Calibri"/>
                <w:color w:val="000000" w:themeColor="text1"/>
                <w:shd w:val="clear" w:color="auto" w:fill="FFFFFF"/>
              </w:rPr>
              <w:t>£9,420</w:t>
            </w:r>
          </w:p>
        </w:tc>
      </w:tr>
      <w:tr w:rsidR="00EA195A" w:rsidRPr="001F0FFC" w14:paraId="7A99EC36" w14:textId="77777777" w:rsidTr="00307070">
        <w:tc>
          <w:tcPr>
            <w:tcW w:w="1696" w:type="dxa"/>
            <w:shd w:val="clear" w:color="auto" w:fill="D9D9D9" w:themeFill="background1" w:themeFillShade="D9"/>
          </w:tcPr>
          <w:p w14:paraId="132ED8D8" w14:textId="77777777" w:rsidR="00EA195A" w:rsidRPr="002D0466" w:rsidRDefault="00EA195A" w:rsidP="00307070">
            <w:pPr>
              <w:jc w:val="center"/>
              <w:rPr>
                <w:highlight w:val="yellow"/>
              </w:rPr>
            </w:pPr>
            <w:r w:rsidRPr="003074B6">
              <w:t>Extracurricular activities</w:t>
            </w:r>
            <w:r w:rsidR="003074B6">
              <w:t xml:space="preserve"> (Curriculum +)</w:t>
            </w:r>
            <w:r w:rsidRPr="003074B6">
              <w:t xml:space="preserve"> &amp; trip/visit subsidies</w:t>
            </w:r>
          </w:p>
        </w:tc>
        <w:tc>
          <w:tcPr>
            <w:tcW w:w="1276" w:type="dxa"/>
          </w:tcPr>
          <w:p w14:paraId="07418CCC" w14:textId="77777777" w:rsidR="00EA195A" w:rsidRPr="002D0466" w:rsidRDefault="003074B6" w:rsidP="00307070">
            <w:pPr>
              <w:jc w:val="center"/>
              <w:rPr>
                <w:highlight w:val="yellow"/>
              </w:rPr>
            </w:pPr>
            <w:r w:rsidRPr="003074B6">
              <w:t>RTO</w:t>
            </w:r>
            <w:r>
              <w:t>/LHA</w:t>
            </w:r>
          </w:p>
        </w:tc>
        <w:tc>
          <w:tcPr>
            <w:tcW w:w="1701" w:type="dxa"/>
          </w:tcPr>
          <w:p w14:paraId="78C315AB" w14:textId="77777777" w:rsidR="00EA195A" w:rsidRPr="003074B6" w:rsidRDefault="00EA195A" w:rsidP="00307070">
            <w:r w:rsidRPr="003074B6">
              <w:t>Present students with a broad range of opportunities.</w:t>
            </w:r>
          </w:p>
          <w:p w14:paraId="6F233DB9" w14:textId="77777777" w:rsidR="00EA195A" w:rsidRPr="003074B6" w:rsidRDefault="00EA195A" w:rsidP="00307070"/>
          <w:p w14:paraId="3603E51C" w14:textId="77777777" w:rsidR="00EA195A" w:rsidRPr="002D0466" w:rsidRDefault="00EA195A" w:rsidP="003074B6">
            <w:pPr>
              <w:rPr>
                <w:highlight w:val="yellow"/>
              </w:rPr>
            </w:pPr>
            <w:r w:rsidRPr="003074B6">
              <w:t xml:space="preserve">Further develop a sense of community and involvement within the </w:t>
            </w:r>
            <w:r w:rsidR="003074B6">
              <w:t>school</w:t>
            </w:r>
            <w:r w:rsidRPr="003074B6">
              <w:t>.</w:t>
            </w:r>
          </w:p>
        </w:tc>
        <w:tc>
          <w:tcPr>
            <w:tcW w:w="9506" w:type="dxa"/>
          </w:tcPr>
          <w:p w14:paraId="4E79233C" w14:textId="77777777" w:rsidR="00EA195A" w:rsidRPr="00664D68" w:rsidRDefault="00EA195A" w:rsidP="00E202A4">
            <w:r w:rsidRPr="00664D68">
              <w:t xml:space="preserve">The </w:t>
            </w:r>
            <w:r w:rsidR="003074B6" w:rsidRPr="00664D68">
              <w:t>Bolsover</w:t>
            </w:r>
            <w:r w:rsidRPr="00664D68">
              <w:t xml:space="preserve"> </w:t>
            </w:r>
            <w:r w:rsidR="003074B6" w:rsidRPr="00664D68">
              <w:t>School</w:t>
            </w:r>
            <w:r w:rsidRPr="00664D68">
              <w:t xml:space="preserve"> is committed to developing student experiences </w:t>
            </w:r>
            <w:r w:rsidR="003074B6" w:rsidRPr="00664D68">
              <w:t>outside normal lesson times</w:t>
            </w:r>
            <w:r w:rsidRPr="00664D68">
              <w:t xml:space="preserve">. </w:t>
            </w:r>
            <w:r w:rsidR="003074B6" w:rsidRPr="00664D68">
              <w:t xml:space="preserve"> </w:t>
            </w:r>
            <w:r w:rsidRPr="00664D68">
              <w:t xml:space="preserve">With a range of </w:t>
            </w:r>
            <w:r w:rsidR="00DA1C0E" w:rsidRPr="00664D68">
              <w:t xml:space="preserve">Curriculum Plus </w:t>
            </w:r>
            <w:r w:rsidRPr="00664D68">
              <w:t xml:space="preserve">activities on offer many students demonstrate the commitment to pursue activities to learn new skills, meet others with similar interests or simply for fun. </w:t>
            </w:r>
            <w:r w:rsidR="00DA1C0E" w:rsidRPr="00664D68">
              <w:t xml:space="preserve">A late bus is provided to students free of charge to ensure they can attend after school clubs and interventions without worrying about how to get home.  </w:t>
            </w:r>
            <w:r w:rsidRPr="00664D68">
              <w:t xml:space="preserve">The </w:t>
            </w:r>
            <w:r w:rsidR="003074B6" w:rsidRPr="00664D68">
              <w:t>school</w:t>
            </w:r>
            <w:r w:rsidRPr="00664D68">
              <w:t xml:space="preserve"> also offers a range of trips and residential visits each year which prove very popular. Many of these trips compliment the curriculum together with a range of enrichment visits also. </w:t>
            </w:r>
            <w:r w:rsidR="00DA1C0E" w:rsidRPr="00664D68">
              <w:t xml:space="preserve">The Duke of Edinburgh Award runs each year with expeditions throughout the year.  </w:t>
            </w:r>
            <w:r w:rsidRPr="00664D68">
              <w:t xml:space="preserve">Residential visits </w:t>
            </w:r>
            <w:r w:rsidR="003074B6" w:rsidRPr="00664D68">
              <w:t>this year include a Ski trip to Italy, a visit to Austria</w:t>
            </w:r>
            <w:r w:rsidRPr="00664D68">
              <w:t>; performing arts visit to London</w:t>
            </w:r>
            <w:r w:rsidR="003074B6" w:rsidRPr="00664D68">
              <w:t xml:space="preserve"> and a residential trip to France</w:t>
            </w:r>
            <w:r w:rsidRPr="00664D68">
              <w:t>.  EEF evidence suggests that for some students, this type of activity can boost progress by up to 4 months.</w:t>
            </w:r>
          </w:p>
          <w:p w14:paraId="18499A41" w14:textId="77777777" w:rsidR="00EA195A" w:rsidRPr="00664D68" w:rsidRDefault="00DC76DF" w:rsidP="00307070">
            <w:r w:rsidRPr="00664D68">
              <w:rPr>
                <w:noProof/>
                <w:lang w:eastAsia="en-GB"/>
              </w:rPr>
              <w:drawing>
                <wp:anchor distT="0" distB="0" distL="114300" distR="114300" simplePos="0" relativeHeight="251667968" behindDoc="0" locked="0" layoutInCell="1" allowOverlap="1" wp14:anchorId="5A27B06B" wp14:editId="3FA7EF2F">
                  <wp:simplePos x="0" y="0"/>
                  <wp:positionH relativeFrom="column">
                    <wp:posOffset>-1270</wp:posOffset>
                  </wp:positionH>
                  <wp:positionV relativeFrom="paragraph">
                    <wp:posOffset>1894840</wp:posOffset>
                  </wp:positionV>
                  <wp:extent cx="5953125" cy="485775"/>
                  <wp:effectExtent l="0" t="0" r="9525" b="9525"/>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953125" cy="485775"/>
                          </a:xfrm>
                          <a:prstGeom prst="rect">
                            <a:avLst/>
                          </a:prstGeom>
                        </pic:spPr>
                      </pic:pic>
                    </a:graphicData>
                  </a:graphic>
                  <wp14:sizeRelH relativeFrom="page">
                    <wp14:pctWidth>0</wp14:pctWidth>
                  </wp14:sizeRelH>
                  <wp14:sizeRelV relativeFrom="page">
                    <wp14:pctHeight>0</wp14:pctHeight>
                  </wp14:sizeRelV>
                </wp:anchor>
              </w:drawing>
            </w:r>
            <w:r w:rsidRPr="00664D68">
              <w:rPr>
                <w:noProof/>
                <w:lang w:eastAsia="en-GB"/>
              </w:rPr>
              <w:drawing>
                <wp:anchor distT="0" distB="0" distL="114300" distR="114300" simplePos="0" relativeHeight="251666944" behindDoc="0" locked="0" layoutInCell="1" allowOverlap="1" wp14:anchorId="288FB0A6" wp14:editId="2B788A3A">
                  <wp:simplePos x="0" y="0"/>
                  <wp:positionH relativeFrom="column">
                    <wp:posOffset>2540</wp:posOffset>
                  </wp:positionH>
                  <wp:positionV relativeFrom="paragraph">
                    <wp:posOffset>1296035</wp:posOffset>
                  </wp:positionV>
                  <wp:extent cx="6010275" cy="542925"/>
                  <wp:effectExtent l="0" t="0" r="9525"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010275" cy="542925"/>
                          </a:xfrm>
                          <a:prstGeom prst="rect">
                            <a:avLst/>
                          </a:prstGeom>
                        </pic:spPr>
                      </pic:pic>
                    </a:graphicData>
                  </a:graphic>
                  <wp14:sizeRelH relativeFrom="page">
                    <wp14:pctWidth>0</wp14:pctWidth>
                  </wp14:sizeRelH>
                  <wp14:sizeRelV relativeFrom="page">
                    <wp14:pctHeight>0</wp14:pctHeight>
                  </wp14:sizeRelV>
                </wp:anchor>
              </w:drawing>
            </w:r>
            <w:r w:rsidRPr="00664D68">
              <w:rPr>
                <w:noProof/>
                <w:lang w:eastAsia="en-GB"/>
              </w:rPr>
              <w:drawing>
                <wp:anchor distT="0" distB="0" distL="114300" distR="114300" simplePos="0" relativeHeight="251665920" behindDoc="0" locked="0" layoutInCell="1" allowOverlap="1" wp14:anchorId="4A5B9635" wp14:editId="369E3F81">
                  <wp:simplePos x="0" y="0"/>
                  <wp:positionH relativeFrom="column">
                    <wp:posOffset>-36783</wp:posOffset>
                  </wp:positionH>
                  <wp:positionV relativeFrom="paragraph">
                    <wp:posOffset>715010</wp:posOffset>
                  </wp:positionV>
                  <wp:extent cx="5996762" cy="518588"/>
                  <wp:effectExtent l="0" t="0" r="444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96762" cy="518588"/>
                          </a:xfrm>
                          <a:prstGeom prst="rect">
                            <a:avLst/>
                          </a:prstGeom>
                        </pic:spPr>
                      </pic:pic>
                    </a:graphicData>
                  </a:graphic>
                  <wp14:sizeRelH relativeFrom="page">
                    <wp14:pctWidth>0</wp14:pctWidth>
                  </wp14:sizeRelH>
                  <wp14:sizeRelV relativeFrom="page">
                    <wp14:pctHeight>0</wp14:pctHeight>
                  </wp14:sizeRelV>
                </wp:anchor>
              </w:drawing>
            </w:r>
            <w:r w:rsidRPr="00664D68">
              <w:rPr>
                <w:noProof/>
                <w:lang w:eastAsia="en-GB"/>
              </w:rPr>
              <w:drawing>
                <wp:anchor distT="0" distB="0" distL="114300" distR="114300" simplePos="0" relativeHeight="251662848" behindDoc="0" locked="0" layoutInCell="1" allowOverlap="1" wp14:anchorId="6FF6FFF1" wp14:editId="71C5B6B6">
                  <wp:simplePos x="0" y="0"/>
                  <wp:positionH relativeFrom="column">
                    <wp:posOffset>-36830</wp:posOffset>
                  </wp:positionH>
                  <wp:positionV relativeFrom="paragraph">
                    <wp:posOffset>208915</wp:posOffset>
                  </wp:positionV>
                  <wp:extent cx="6038850" cy="50482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038850" cy="504825"/>
                          </a:xfrm>
                          <a:prstGeom prst="rect">
                            <a:avLst/>
                          </a:prstGeom>
                        </pic:spPr>
                      </pic:pic>
                    </a:graphicData>
                  </a:graphic>
                  <wp14:sizeRelH relativeFrom="page">
                    <wp14:pctWidth>0</wp14:pctWidth>
                  </wp14:sizeRelH>
                  <wp14:sizeRelV relativeFrom="page">
                    <wp14:pctHeight>0</wp14:pctHeight>
                  </wp14:sizeRelV>
                </wp:anchor>
              </w:drawing>
            </w:r>
          </w:p>
        </w:tc>
        <w:tc>
          <w:tcPr>
            <w:tcW w:w="1209" w:type="dxa"/>
          </w:tcPr>
          <w:p w14:paraId="5AAF60D7" w14:textId="77777777" w:rsidR="003074B6" w:rsidRDefault="003074B6" w:rsidP="00664D68">
            <w:pPr>
              <w:rPr>
                <w:rFonts w:ascii="Calibri" w:hAnsi="Calibri"/>
                <w:color w:val="000000" w:themeColor="text1"/>
                <w:shd w:val="clear" w:color="auto" w:fill="FFFFFF"/>
              </w:rPr>
            </w:pPr>
          </w:p>
          <w:p w14:paraId="1522FEE9" w14:textId="77777777" w:rsidR="003074B6" w:rsidRPr="001F0FFC" w:rsidRDefault="00664D68" w:rsidP="00664D68">
            <w:pPr>
              <w:jc w:val="center"/>
            </w:pPr>
            <w:r w:rsidRPr="00664D68">
              <w:rPr>
                <w:rFonts w:ascii="Calibri" w:hAnsi="Calibri"/>
                <w:color w:val="000000" w:themeColor="text1"/>
                <w:shd w:val="clear" w:color="auto" w:fill="FFFFFF"/>
              </w:rPr>
              <w:t>£9,000</w:t>
            </w:r>
            <w:r w:rsidR="00DA1C0E" w:rsidRPr="00664D68">
              <w:rPr>
                <w:rFonts w:ascii="Calibri" w:hAnsi="Calibri"/>
                <w:color w:val="000000" w:themeColor="text1"/>
                <w:shd w:val="clear" w:color="auto" w:fill="FFFFFF"/>
              </w:rPr>
              <w:t xml:space="preserve"> </w:t>
            </w:r>
          </w:p>
        </w:tc>
      </w:tr>
      <w:tr w:rsidR="00086A94" w:rsidRPr="001F0FFC" w14:paraId="0A83D5B8" w14:textId="77777777" w:rsidTr="00307070">
        <w:tc>
          <w:tcPr>
            <w:tcW w:w="1696" w:type="dxa"/>
            <w:shd w:val="clear" w:color="auto" w:fill="D9D9D9" w:themeFill="background1" w:themeFillShade="D9"/>
          </w:tcPr>
          <w:p w14:paraId="7E07BCF7" w14:textId="77777777" w:rsidR="00086A94" w:rsidRPr="003074B6" w:rsidRDefault="00086A94" w:rsidP="00307070">
            <w:pPr>
              <w:jc w:val="center"/>
            </w:pPr>
            <w:r>
              <w:t>Reducing barriers for disadvantaged students</w:t>
            </w:r>
          </w:p>
        </w:tc>
        <w:tc>
          <w:tcPr>
            <w:tcW w:w="1276" w:type="dxa"/>
          </w:tcPr>
          <w:p w14:paraId="09E9388F" w14:textId="77777777" w:rsidR="00086A94" w:rsidRDefault="00086A94" w:rsidP="00307070">
            <w:pPr>
              <w:jc w:val="center"/>
            </w:pPr>
            <w:r>
              <w:t>LHA/JPR/</w:t>
            </w:r>
          </w:p>
          <w:p w14:paraId="532B7DEB" w14:textId="77777777" w:rsidR="00086A94" w:rsidRPr="003074B6" w:rsidRDefault="00086A94" w:rsidP="00307070">
            <w:pPr>
              <w:jc w:val="center"/>
            </w:pPr>
            <w:r>
              <w:t>AMI</w:t>
            </w:r>
          </w:p>
        </w:tc>
        <w:tc>
          <w:tcPr>
            <w:tcW w:w="1701" w:type="dxa"/>
          </w:tcPr>
          <w:p w14:paraId="468A9483" w14:textId="77777777" w:rsidR="00086A94" w:rsidRDefault="004304B5" w:rsidP="00307070">
            <w:r>
              <w:t>Barriers for disadvantaged students are reduced.</w:t>
            </w:r>
          </w:p>
          <w:p w14:paraId="4D702DE5" w14:textId="77777777" w:rsidR="004304B5" w:rsidRDefault="004304B5" w:rsidP="00307070"/>
          <w:p w14:paraId="639D8EE5" w14:textId="77777777" w:rsidR="004304B5" w:rsidRPr="003074B6" w:rsidRDefault="004304B5" w:rsidP="00307070"/>
        </w:tc>
        <w:tc>
          <w:tcPr>
            <w:tcW w:w="9506" w:type="dxa"/>
          </w:tcPr>
          <w:p w14:paraId="2E7FC5D4" w14:textId="77777777" w:rsidR="004304B5" w:rsidRPr="00664D68" w:rsidRDefault="004304B5" w:rsidP="00E202A4">
            <w:r w:rsidRPr="00664D68">
              <w:t xml:space="preserve">The Bolsover School aims where possible to reduce significant barriers to learning for students where this is linked to disadvantage.   For example, the biometrics system subscription; the deployment of this technology removes the stigma of pupils receiving FSM and encourages both sign-up for FSM and uptake of the meals themselves. </w:t>
            </w:r>
            <w:r w:rsidR="00DC76DF">
              <w:t xml:space="preserve"> </w:t>
            </w:r>
            <w:r w:rsidRPr="00664D68">
              <w:t xml:space="preserve">It also removes the need for students to bring cash into school.  </w:t>
            </w:r>
            <w:r w:rsidRPr="00664D68">
              <w:rPr>
                <w:rFonts w:eastAsia="Arial" w:cs="Arial"/>
              </w:rPr>
              <w:t>Furthermore, in some extreme cases of hardship we can support young people and their families to enable students to access the full curriculum and extra-curricular activities on offer.</w:t>
            </w:r>
          </w:p>
          <w:p w14:paraId="76D5194C" w14:textId="77777777" w:rsidR="00086A94" w:rsidRPr="00664D68" w:rsidRDefault="004304B5" w:rsidP="00307070">
            <w:pPr>
              <w:jc w:val="both"/>
            </w:pPr>
            <w:r w:rsidRPr="00664D68">
              <w:rPr>
                <w:noProof/>
                <w:lang w:eastAsia="en-GB"/>
              </w:rPr>
              <w:drawing>
                <wp:inline distT="0" distB="0" distL="0" distR="0" wp14:anchorId="48FF4F31" wp14:editId="058DD402">
                  <wp:extent cx="6010910" cy="52451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0910" cy="524510"/>
                          </a:xfrm>
                          <a:prstGeom prst="rect">
                            <a:avLst/>
                          </a:prstGeom>
                          <a:noFill/>
                        </pic:spPr>
                      </pic:pic>
                    </a:graphicData>
                  </a:graphic>
                </wp:inline>
              </w:drawing>
            </w:r>
          </w:p>
        </w:tc>
        <w:tc>
          <w:tcPr>
            <w:tcW w:w="1209" w:type="dxa"/>
          </w:tcPr>
          <w:p w14:paraId="68387D28" w14:textId="77777777" w:rsidR="00664D68" w:rsidRDefault="00664D68" w:rsidP="003074B6">
            <w:pPr>
              <w:jc w:val="center"/>
              <w:rPr>
                <w:rFonts w:ascii="Calibri" w:hAnsi="Calibri"/>
                <w:color w:val="000000" w:themeColor="text1"/>
                <w:shd w:val="clear" w:color="auto" w:fill="FFFFFF"/>
              </w:rPr>
            </w:pPr>
          </w:p>
          <w:p w14:paraId="5A264DCF" w14:textId="77777777" w:rsidR="00086A94" w:rsidRDefault="004304B5" w:rsidP="003074B6">
            <w:pPr>
              <w:jc w:val="center"/>
              <w:rPr>
                <w:rFonts w:ascii="Calibri" w:hAnsi="Calibri"/>
                <w:color w:val="000000" w:themeColor="text1"/>
                <w:shd w:val="clear" w:color="auto" w:fill="FFFFFF"/>
              </w:rPr>
            </w:pPr>
            <w:r>
              <w:rPr>
                <w:rFonts w:ascii="Calibri" w:hAnsi="Calibri"/>
                <w:color w:val="000000" w:themeColor="text1"/>
                <w:shd w:val="clear" w:color="auto" w:fill="FFFFFF"/>
              </w:rPr>
              <w:t>£7,897</w:t>
            </w:r>
          </w:p>
        </w:tc>
      </w:tr>
      <w:tr w:rsidR="00AF1E33" w:rsidRPr="001F0FFC" w14:paraId="3EE59C2A" w14:textId="77777777" w:rsidTr="00307070">
        <w:tc>
          <w:tcPr>
            <w:tcW w:w="1696" w:type="dxa"/>
            <w:shd w:val="clear" w:color="auto" w:fill="D9D9D9" w:themeFill="background1" w:themeFillShade="D9"/>
          </w:tcPr>
          <w:p w14:paraId="7EAAAD4F" w14:textId="06F24A76" w:rsidR="00AF1E33" w:rsidRDefault="00893E27" w:rsidP="00893E27">
            <w:pPr>
              <w:jc w:val="center"/>
            </w:pPr>
            <w:r>
              <w:t xml:space="preserve">Self-supported study </w:t>
            </w:r>
          </w:p>
        </w:tc>
        <w:tc>
          <w:tcPr>
            <w:tcW w:w="1276" w:type="dxa"/>
          </w:tcPr>
          <w:p w14:paraId="74C7BC1D" w14:textId="77777777" w:rsidR="00AF1E33" w:rsidRDefault="00AF1E33" w:rsidP="00307070">
            <w:pPr>
              <w:jc w:val="center"/>
            </w:pPr>
            <w:r>
              <w:t>SSP</w:t>
            </w:r>
          </w:p>
        </w:tc>
        <w:tc>
          <w:tcPr>
            <w:tcW w:w="1701" w:type="dxa"/>
          </w:tcPr>
          <w:p w14:paraId="2D888DA9" w14:textId="77777777" w:rsidR="00AF1E33" w:rsidRDefault="00AF1E33" w:rsidP="00307070">
            <w:r>
              <w:t>Ensure students isolated from lessons have acce</w:t>
            </w:r>
            <w:r>
              <w:lastRenderedPageBreak/>
              <w:t>ss to meaningful work.</w:t>
            </w:r>
          </w:p>
        </w:tc>
        <w:tc>
          <w:tcPr>
            <w:tcW w:w="9506" w:type="dxa"/>
          </w:tcPr>
          <w:p w14:paraId="6AAF603D" w14:textId="40464F91" w:rsidR="00AF1E33" w:rsidRDefault="00AF1E33" w:rsidP="00E202A4">
            <w:r>
              <w:lastRenderedPageBreak/>
              <w:t>EDLounge provides work and support for students who are unable to attend lessons, for example when students are removed from lessons due to behaviour issues and spend a period of time in isolation.  For The Bolsover School this has been a useful tool to ensure students have access to meaningful, appropriate work with support provided.</w:t>
            </w:r>
            <w:r w:rsidR="00893E27">
              <w:t xml:space="preserve">  Other packages which the school makes use of include SENECA and Educake which allow students work independently with online support </w:t>
            </w:r>
            <w:r w:rsidR="00893E27" w:rsidRPr="00620449">
              <w:t>built in.</w:t>
            </w:r>
            <w:r w:rsidR="00316EA2" w:rsidRPr="00620449">
              <w:t xml:space="preserve">  EEF evidence shows that digital technology can contribute to adding up to 4 months’ progress for students.</w:t>
            </w:r>
          </w:p>
          <w:p w14:paraId="650BE7D0" w14:textId="13B94A2B" w:rsidR="00AF1E33" w:rsidRPr="004304B5" w:rsidRDefault="00AF1E33" w:rsidP="00AF1E33">
            <w:pPr>
              <w:jc w:val="both"/>
            </w:pPr>
            <w:r>
              <w:rPr>
                <w:noProof/>
                <w:lang w:eastAsia="en-GB"/>
              </w:rPr>
              <w:drawing>
                <wp:inline distT="0" distB="0" distL="0" distR="0" wp14:anchorId="2D0B15F6" wp14:editId="1D5651EA">
                  <wp:extent cx="6010910" cy="524510"/>
                  <wp:effectExtent l="0" t="0" r="889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0910" cy="524510"/>
                          </a:xfrm>
                          <a:prstGeom prst="rect">
                            <a:avLst/>
                          </a:prstGeom>
                          <a:noFill/>
                        </pic:spPr>
                      </pic:pic>
                    </a:graphicData>
                  </a:graphic>
                </wp:inline>
              </w:drawing>
            </w:r>
          </w:p>
        </w:tc>
        <w:tc>
          <w:tcPr>
            <w:tcW w:w="1209" w:type="dxa"/>
          </w:tcPr>
          <w:p w14:paraId="14C906BC" w14:textId="77777777" w:rsidR="00664D68" w:rsidRDefault="00664D68" w:rsidP="003074B6">
            <w:pPr>
              <w:jc w:val="center"/>
              <w:rPr>
                <w:rFonts w:ascii="Calibri" w:hAnsi="Calibri"/>
                <w:color w:val="000000" w:themeColor="text1"/>
                <w:shd w:val="clear" w:color="auto" w:fill="FFFFFF"/>
              </w:rPr>
            </w:pPr>
          </w:p>
          <w:p w14:paraId="7F140A8C" w14:textId="77777777" w:rsidR="00AF1E33" w:rsidRDefault="00AF1E33" w:rsidP="003074B6">
            <w:pPr>
              <w:jc w:val="center"/>
              <w:rPr>
                <w:rFonts w:ascii="Calibri" w:hAnsi="Calibri"/>
                <w:color w:val="000000" w:themeColor="text1"/>
                <w:shd w:val="clear" w:color="auto" w:fill="FFFFFF"/>
              </w:rPr>
            </w:pPr>
            <w:r>
              <w:rPr>
                <w:rFonts w:ascii="Calibri" w:hAnsi="Calibri"/>
                <w:color w:val="000000" w:themeColor="text1"/>
                <w:shd w:val="clear" w:color="auto" w:fill="FFFFFF"/>
              </w:rPr>
              <w:t>£7,500</w:t>
            </w:r>
          </w:p>
        </w:tc>
      </w:tr>
    </w:tbl>
    <w:p w14:paraId="09A4C21D" w14:textId="647A15C4" w:rsidR="00947235" w:rsidRPr="00316EA2" w:rsidRDefault="00947235" w:rsidP="00B726BA">
      <w:pPr>
        <w:spacing w:before="100" w:beforeAutospacing="1" w:after="100" w:afterAutospacing="1" w:line="240" w:lineRule="auto"/>
        <w:rPr>
          <w:rFonts w:ascii="Calibri" w:eastAsia="Calibri" w:hAnsi="Calibri" w:cs="Times New Roman"/>
          <w:b/>
          <w:sz w:val="24"/>
          <w:szCs w:val="24"/>
          <w:lang w:val="en"/>
        </w:rPr>
      </w:pPr>
      <w:r w:rsidRPr="00664D68">
        <w:rPr>
          <w:rFonts w:ascii="Calibri" w:eastAsia="Calibri" w:hAnsi="Calibri" w:cs="Times New Roman"/>
          <w:b/>
          <w:sz w:val="24"/>
          <w:szCs w:val="24"/>
          <w:lang w:val="en"/>
        </w:rPr>
        <w:lastRenderedPageBreak/>
        <w:t>3. Supporting whole-school strategies to improve attendance, b</w:t>
      </w:r>
      <w:r w:rsidR="00AF1E33" w:rsidRPr="00664D68">
        <w:rPr>
          <w:rFonts w:ascii="Calibri" w:eastAsia="Calibri" w:hAnsi="Calibri" w:cs="Times New Roman"/>
          <w:b/>
          <w:sz w:val="24"/>
          <w:szCs w:val="24"/>
          <w:lang w:val="en"/>
        </w:rPr>
        <w:t>ehaviour and readiness to learn</w:t>
      </w:r>
    </w:p>
    <w:tbl>
      <w:tblPr>
        <w:tblStyle w:val="TableGrid"/>
        <w:tblW w:w="15388" w:type="dxa"/>
        <w:jc w:val="center"/>
        <w:tblLayout w:type="fixed"/>
        <w:tblLook w:val="04A0" w:firstRow="1" w:lastRow="0" w:firstColumn="1" w:lastColumn="0" w:noHBand="0" w:noVBand="1"/>
      </w:tblPr>
      <w:tblGrid>
        <w:gridCol w:w="1696"/>
        <w:gridCol w:w="1276"/>
        <w:gridCol w:w="1701"/>
        <w:gridCol w:w="9506"/>
        <w:gridCol w:w="1209"/>
      </w:tblGrid>
      <w:tr w:rsidR="00EB7AC9" w14:paraId="29723FDD" w14:textId="77777777" w:rsidTr="00D80EC9">
        <w:trPr>
          <w:tblHeader/>
          <w:jc w:val="center"/>
        </w:trPr>
        <w:tc>
          <w:tcPr>
            <w:tcW w:w="1696" w:type="dxa"/>
            <w:shd w:val="clear" w:color="auto" w:fill="D9D9D9" w:themeFill="background1" w:themeFillShade="D9"/>
          </w:tcPr>
          <w:p w14:paraId="10B7979F" w14:textId="77777777" w:rsidR="00215E82" w:rsidRDefault="00D46A2B" w:rsidP="00B1213D">
            <w:pPr>
              <w:jc w:val="center"/>
              <w:rPr>
                <w:b/>
              </w:rPr>
            </w:pPr>
            <w:r>
              <w:rPr>
                <w:b/>
              </w:rPr>
              <w:t>2019/20</w:t>
            </w:r>
          </w:p>
          <w:p w14:paraId="6E40745E" w14:textId="77777777" w:rsidR="00EB7AC9" w:rsidRPr="00D004B8" w:rsidRDefault="00EB7AC9" w:rsidP="00B1213D">
            <w:pPr>
              <w:jc w:val="center"/>
              <w:rPr>
                <w:b/>
              </w:rPr>
            </w:pPr>
            <w:r w:rsidRPr="00D004B8">
              <w:rPr>
                <w:b/>
              </w:rPr>
              <w:t>Strategies</w:t>
            </w:r>
          </w:p>
        </w:tc>
        <w:tc>
          <w:tcPr>
            <w:tcW w:w="1276" w:type="dxa"/>
            <w:shd w:val="clear" w:color="auto" w:fill="D9D9D9" w:themeFill="background1" w:themeFillShade="D9"/>
          </w:tcPr>
          <w:p w14:paraId="39BD3089" w14:textId="77777777" w:rsidR="00EB7AC9" w:rsidRDefault="00EB7AC9" w:rsidP="00B1213D">
            <w:pPr>
              <w:jc w:val="center"/>
              <w:rPr>
                <w:b/>
              </w:rPr>
            </w:pPr>
            <w:r>
              <w:rPr>
                <w:b/>
              </w:rPr>
              <w:t>Person responsible</w:t>
            </w:r>
          </w:p>
        </w:tc>
        <w:tc>
          <w:tcPr>
            <w:tcW w:w="1701" w:type="dxa"/>
            <w:shd w:val="clear" w:color="auto" w:fill="D9D9D9" w:themeFill="background1" w:themeFillShade="D9"/>
          </w:tcPr>
          <w:p w14:paraId="29FBD14F" w14:textId="77777777" w:rsidR="00EB7AC9" w:rsidRDefault="00EB7AC9" w:rsidP="001E2136">
            <w:pPr>
              <w:jc w:val="center"/>
              <w:rPr>
                <w:b/>
              </w:rPr>
            </w:pPr>
            <w:r>
              <w:rPr>
                <w:b/>
              </w:rPr>
              <w:t>Intended outcomes</w:t>
            </w:r>
          </w:p>
          <w:p w14:paraId="3C999FDD" w14:textId="429C5734" w:rsidR="00EB7AC9" w:rsidRDefault="00EB7AC9" w:rsidP="001E2136">
            <w:pPr>
              <w:rPr>
                <w:b/>
              </w:rPr>
            </w:pPr>
          </w:p>
        </w:tc>
        <w:tc>
          <w:tcPr>
            <w:tcW w:w="9506" w:type="dxa"/>
            <w:shd w:val="clear" w:color="auto" w:fill="D9D9D9" w:themeFill="background1" w:themeFillShade="D9"/>
          </w:tcPr>
          <w:p w14:paraId="6C96A4CB" w14:textId="77777777" w:rsidR="00EB7AC9" w:rsidRDefault="00EB7AC9" w:rsidP="00D61370">
            <w:pPr>
              <w:jc w:val="center"/>
              <w:rPr>
                <w:b/>
              </w:rPr>
            </w:pPr>
            <w:r>
              <w:rPr>
                <w:b/>
              </w:rPr>
              <w:t>Rationale &amp; evidence</w:t>
            </w:r>
          </w:p>
          <w:p w14:paraId="6A3CF2D5" w14:textId="77777777" w:rsidR="00EB7AC9" w:rsidRDefault="00EB7AC9" w:rsidP="00D61370">
            <w:pPr>
              <w:jc w:val="center"/>
              <w:rPr>
                <w:b/>
              </w:rPr>
            </w:pPr>
            <w:r>
              <w:rPr>
                <w:b/>
              </w:rPr>
              <w:t>(previous experience &amp; EEF toolkit)</w:t>
            </w:r>
          </w:p>
          <w:p w14:paraId="3F3CD595" w14:textId="3D33CC8D" w:rsidR="00EB7AC9" w:rsidRPr="00E10B44" w:rsidRDefault="00EB7AC9" w:rsidP="00D61370">
            <w:pPr>
              <w:rPr>
                <w:b/>
              </w:rPr>
            </w:pPr>
            <w:r>
              <w:rPr>
                <w:b/>
              </w:rPr>
              <w:t xml:space="preserve"> </w:t>
            </w:r>
          </w:p>
        </w:tc>
        <w:tc>
          <w:tcPr>
            <w:tcW w:w="1209" w:type="dxa"/>
            <w:shd w:val="clear" w:color="auto" w:fill="D9D9D9" w:themeFill="background1" w:themeFillShade="D9"/>
          </w:tcPr>
          <w:p w14:paraId="1BDA86CE" w14:textId="77777777" w:rsidR="00EB7AC9" w:rsidRPr="001F0FFC" w:rsidRDefault="00BA6E57" w:rsidP="00B1213D">
            <w:pPr>
              <w:jc w:val="center"/>
              <w:rPr>
                <w:b/>
              </w:rPr>
            </w:pPr>
            <w:r>
              <w:rPr>
                <w:b/>
              </w:rPr>
              <w:t xml:space="preserve">Budgeted </w:t>
            </w:r>
            <w:r w:rsidR="000269AA">
              <w:rPr>
                <w:b/>
              </w:rPr>
              <w:t xml:space="preserve">Cost </w:t>
            </w:r>
          </w:p>
        </w:tc>
      </w:tr>
      <w:tr w:rsidR="00662B3F" w14:paraId="4723D5D1" w14:textId="77777777" w:rsidTr="00D80EC9">
        <w:trPr>
          <w:jc w:val="center"/>
        </w:trPr>
        <w:tc>
          <w:tcPr>
            <w:tcW w:w="1696" w:type="dxa"/>
            <w:shd w:val="clear" w:color="auto" w:fill="D9D9D9" w:themeFill="background1" w:themeFillShade="D9"/>
          </w:tcPr>
          <w:p w14:paraId="1F08CF83" w14:textId="77777777" w:rsidR="00662B3F" w:rsidRPr="009D5AE2" w:rsidRDefault="00662B3F" w:rsidP="00662B3F">
            <w:pPr>
              <w:jc w:val="center"/>
              <w:rPr>
                <w:color w:val="000000" w:themeColor="text1"/>
              </w:rPr>
            </w:pPr>
            <w:r w:rsidRPr="009D5AE2">
              <w:rPr>
                <w:color w:val="000000" w:themeColor="text1"/>
              </w:rPr>
              <w:t>Contribution to Attendance officer salary</w:t>
            </w:r>
          </w:p>
        </w:tc>
        <w:tc>
          <w:tcPr>
            <w:tcW w:w="1276" w:type="dxa"/>
          </w:tcPr>
          <w:p w14:paraId="300DA058" w14:textId="77777777" w:rsidR="00662B3F" w:rsidRPr="009D5AE2" w:rsidRDefault="00662B3F" w:rsidP="00662B3F">
            <w:pPr>
              <w:jc w:val="center"/>
            </w:pPr>
            <w:r w:rsidRPr="009D5AE2">
              <w:t>ITI/RHI</w:t>
            </w:r>
          </w:p>
        </w:tc>
        <w:tc>
          <w:tcPr>
            <w:tcW w:w="1701" w:type="dxa"/>
          </w:tcPr>
          <w:p w14:paraId="15CD1BF3" w14:textId="77777777" w:rsidR="00662B3F" w:rsidRPr="009D5AE2" w:rsidRDefault="00662B3F" w:rsidP="00662B3F">
            <w:pPr>
              <w:rPr>
                <w:color w:val="000000" w:themeColor="text1"/>
              </w:rPr>
            </w:pPr>
            <w:r w:rsidRPr="009D5AE2">
              <w:rPr>
                <w:color w:val="000000" w:themeColor="text1"/>
              </w:rPr>
              <w:t>PP student attendance &gt;95%.</w:t>
            </w:r>
          </w:p>
        </w:tc>
        <w:tc>
          <w:tcPr>
            <w:tcW w:w="9506" w:type="dxa"/>
          </w:tcPr>
          <w:p w14:paraId="78B5F3CB" w14:textId="77777777" w:rsidR="00662B3F" w:rsidRPr="00DC76DF" w:rsidRDefault="00DC76DF" w:rsidP="00DC76DF">
            <w:r w:rsidRPr="009D5AE2">
              <w:rPr>
                <w:noProof/>
                <w:lang w:eastAsia="en-GB"/>
              </w:rPr>
              <w:drawing>
                <wp:anchor distT="0" distB="0" distL="114300" distR="114300" simplePos="0" relativeHeight="251668992" behindDoc="0" locked="0" layoutInCell="1" allowOverlap="1" wp14:anchorId="139145CB" wp14:editId="472F30AC">
                  <wp:simplePos x="0" y="0"/>
                  <wp:positionH relativeFrom="column">
                    <wp:posOffset>1270</wp:posOffset>
                  </wp:positionH>
                  <wp:positionV relativeFrom="paragraph">
                    <wp:posOffset>1307465</wp:posOffset>
                  </wp:positionV>
                  <wp:extent cx="6181725" cy="476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1940" b="13434"/>
                          <a:stretch/>
                        </pic:blipFill>
                        <pic:spPr bwMode="auto">
                          <a:xfrm>
                            <a:off x="0" y="0"/>
                            <a:ext cx="618172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2B3F" w:rsidRPr="009D5AE2">
              <w:t xml:space="preserve">EEF evidence shows that intervention to change student behaviour has a moderate impact on student progress, adding up to 3 months’ progress. Bolsover employs an attendance officer whose sole focus is to raise student attendance; this is achieved through a range of intervention methods including student and parent contact in school and at home. PP student attendance continues to rise (as does whole school attendance) and this can be attributed to the work that the attendance officer and staff as a whole do, day-to-day to ensure students are in school to access the teaching and learning provision on offer. </w:t>
            </w:r>
          </w:p>
          <w:p w14:paraId="7756ADA0" w14:textId="77777777" w:rsidR="00662B3F" w:rsidRPr="009D5AE2" w:rsidRDefault="00662B3F" w:rsidP="00662B3F">
            <w:pPr>
              <w:jc w:val="both"/>
              <w:rPr>
                <w:color w:val="000000" w:themeColor="text1"/>
              </w:rPr>
            </w:pPr>
          </w:p>
        </w:tc>
        <w:tc>
          <w:tcPr>
            <w:tcW w:w="1209" w:type="dxa"/>
          </w:tcPr>
          <w:p w14:paraId="534FCF21" w14:textId="77777777" w:rsidR="00C66666" w:rsidRDefault="00C66666" w:rsidP="00662B3F">
            <w:pPr>
              <w:jc w:val="center"/>
              <w:rPr>
                <w:rFonts w:ascii="Calibri" w:hAnsi="Calibri"/>
                <w:color w:val="000000" w:themeColor="text1"/>
                <w:shd w:val="clear" w:color="auto" w:fill="FFFFFF"/>
              </w:rPr>
            </w:pPr>
          </w:p>
          <w:p w14:paraId="37CA1681" w14:textId="77777777" w:rsidR="00662B3F" w:rsidRPr="00C66666" w:rsidRDefault="00CA4852" w:rsidP="00662B3F">
            <w:pPr>
              <w:jc w:val="center"/>
              <w:rPr>
                <w:color w:val="000000" w:themeColor="text1"/>
              </w:rPr>
            </w:pPr>
            <w:r w:rsidRPr="00C66666">
              <w:rPr>
                <w:rFonts w:ascii="Calibri" w:hAnsi="Calibri"/>
                <w:color w:val="000000" w:themeColor="text1"/>
                <w:shd w:val="clear" w:color="auto" w:fill="FFFFFF"/>
              </w:rPr>
              <w:t>£7,000</w:t>
            </w:r>
            <w:r w:rsidR="009D5AE2" w:rsidRPr="00C66666">
              <w:rPr>
                <w:rFonts w:ascii="Calibri" w:hAnsi="Calibri"/>
                <w:color w:val="000000" w:themeColor="text1"/>
                <w:shd w:val="clear" w:color="auto" w:fill="FFFFFF"/>
              </w:rPr>
              <w:t xml:space="preserve"> </w:t>
            </w:r>
          </w:p>
          <w:p w14:paraId="5ECE33D2" w14:textId="77777777" w:rsidR="00662B3F" w:rsidRPr="00664D68" w:rsidRDefault="00662B3F" w:rsidP="00662B3F">
            <w:pPr>
              <w:jc w:val="center"/>
              <w:rPr>
                <w:color w:val="000000" w:themeColor="text1"/>
                <w:highlight w:val="yellow"/>
              </w:rPr>
            </w:pPr>
          </w:p>
          <w:p w14:paraId="27A6DAC7" w14:textId="77777777" w:rsidR="00662B3F" w:rsidRPr="001F0FFC" w:rsidRDefault="00662B3F" w:rsidP="00CA4852">
            <w:pPr>
              <w:jc w:val="center"/>
              <w:rPr>
                <w:color w:val="000000" w:themeColor="text1"/>
              </w:rPr>
            </w:pPr>
          </w:p>
        </w:tc>
      </w:tr>
      <w:tr w:rsidR="00662B3F" w14:paraId="2F167AC4" w14:textId="77777777" w:rsidTr="00D80EC9">
        <w:trPr>
          <w:jc w:val="center"/>
        </w:trPr>
        <w:tc>
          <w:tcPr>
            <w:tcW w:w="1696" w:type="dxa"/>
            <w:shd w:val="clear" w:color="auto" w:fill="D9D9D9" w:themeFill="background1" w:themeFillShade="D9"/>
          </w:tcPr>
          <w:p w14:paraId="44CE7E61" w14:textId="77777777" w:rsidR="00662B3F" w:rsidRPr="00060EC5" w:rsidRDefault="00662B3F" w:rsidP="00662B3F">
            <w:pPr>
              <w:jc w:val="center"/>
              <w:rPr>
                <w:color w:val="000000" w:themeColor="text1"/>
              </w:rPr>
            </w:pPr>
            <w:r w:rsidRPr="00060EC5">
              <w:rPr>
                <w:color w:val="000000" w:themeColor="text1"/>
              </w:rPr>
              <w:t>Careers Intervention</w:t>
            </w:r>
          </w:p>
        </w:tc>
        <w:tc>
          <w:tcPr>
            <w:tcW w:w="1276" w:type="dxa"/>
          </w:tcPr>
          <w:p w14:paraId="40D325B5" w14:textId="77777777" w:rsidR="00662B3F" w:rsidRPr="00060EC5" w:rsidRDefault="00662B3F" w:rsidP="00662B3F">
            <w:pPr>
              <w:jc w:val="center"/>
            </w:pPr>
            <w:r w:rsidRPr="00060EC5">
              <w:t>ITI/DCY</w:t>
            </w:r>
          </w:p>
        </w:tc>
        <w:tc>
          <w:tcPr>
            <w:tcW w:w="1701" w:type="dxa"/>
          </w:tcPr>
          <w:p w14:paraId="7F5A5BC1" w14:textId="77777777" w:rsidR="00662B3F" w:rsidRPr="00060EC5" w:rsidRDefault="00662B3F" w:rsidP="00662B3F">
            <w:r w:rsidRPr="00060EC5">
              <w:t>Post-16 pathway in place for all Yr 11 PP students.</w:t>
            </w:r>
          </w:p>
          <w:p w14:paraId="487EF47F" w14:textId="77777777" w:rsidR="00662B3F" w:rsidRPr="00060EC5" w:rsidRDefault="00662B3F" w:rsidP="00662B3F"/>
          <w:p w14:paraId="09FADC1A" w14:textId="77777777" w:rsidR="00662B3F" w:rsidRDefault="00662B3F" w:rsidP="00662B3F"/>
          <w:p w14:paraId="46455449" w14:textId="77777777" w:rsidR="001A00B1" w:rsidRDefault="001A00B1" w:rsidP="00662B3F"/>
          <w:p w14:paraId="00A0C81F" w14:textId="77777777" w:rsidR="001A00B1" w:rsidRDefault="001A00B1" w:rsidP="00662B3F"/>
          <w:p w14:paraId="4532C888" w14:textId="77777777" w:rsidR="001A00B1" w:rsidRDefault="001A00B1" w:rsidP="00662B3F"/>
          <w:p w14:paraId="41DC0521" w14:textId="77777777" w:rsidR="001A00B1" w:rsidRDefault="001A00B1" w:rsidP="00662B3F"/>
          <w:p w14:paraId="49768FDE" w14:textId="40A18E30" w:rsidR="001A00B1" w:rsidRPr="00060EC5" w:rsidRDefault="001A00B1" w:rsidP="00662B3F"/>
        </w:tc>
        <w:tc>
          <w:tcPr>
            <w:tcW w:w="9506" w:type="dxa"/>
          </w:tcPr>
          <w:p w14:paraId="38A1E9BB" w14:textId="00D744E2" w:rsidR="00662B3F" w:rsidRPr="00712FF2" w:rsidRDefault="00662B3F" w:rsidP="00712FF2">
            <w:r w:rsidRPr="00060EC5">
              <w:t xml:space="preserve">High quality careers intervention makes a real difference to all students in helping them to decide on an appropriate career path. It also supports students in making the right post-16 options choices based on their future career aspirations. The EEF considers this type of intervention as having low impact, however, the programme has been well received by students, parents and employers and we believe it </w:t>
            </w:r>
            <w:r w:rsidRPr="00620449">
              <w:t>support</w:t>
            </w:r>
            <w:r w:rsidR="00060EC5" w:rsidRPr="00620449">
              <w:t>s</w:t>
            </w:r>
            <w:r w:rsidRPr="00620449">
              <w:t xml:space="preserve"> them in their transition to post-16 study and/or vocational c</w:t>
            </w:r>
            <w:r w:rsidR="00F9688A" w:rsidRPr="00620449">
              <w:t xml:space="preserve">ourses such as apprenticeships.  Whole school NEET figures have fallen from 2% in 2017 to 1% in 2018 with PP NEET figures falling from </w:t>
            </w:r>
            <w:r w:rsidR="00712FF2" w:rsidRPr="00620449">
              <w:t>0.68% in 2017 to 0% in 2018.</w:t>
            </w:r>
            <w:r w:rsidR="001A00B1" w:rsidRPr="00620449">
              <w:t xml:space="preserve">  This can be attributed to the work that the CEIAG Officer and staff as a whole do, day-to-day to ensure students have high aspirations and receive the necessary information, advice and guidance to help them plan for their future career choices.</w:t>
            </w:r>
          </w:p>
          <w:p w14:paraId="36908440" w14:textId="577F492E" w:rsidR="00662B3F" w:rsidRPr="00060EC5" w:rsidRDefault="001A00B1" w:rsidP="00662B3F">
            <w:pPr>
              <w:jc w:val="both"/>
              <w:rPr>
                <w:color w:val="FF0000"/>
              </w:rPr>
            </w:pPr>
            <w:r w:rsidRPr="00060EC5">
              <w:rPr>
                <w:noProof/>
                <w:lang w:eastAsia="en-GB"/>
              </w:rPr>
              <w:drawing>
                <wp:anchor distT="0" distB="0" distL="114300" distR="114300" simplePos="0" relativeHeight="251671040" behindDoc="0" locked="0" layoutInCell="1" allowOverlap="1" wp14:anchorId="44437A7E" wp14:editId="032C1B8C">
                  <wp:simplePos x="0" y="0"/>
                  <wp:positionH relativeFrom="column">
                    <wp:posOffset>-55245</wp:posOffset>
                  </wp:positionH>
                  <wp:positionV relativeFrom="paragraph">
                    <wp:posOffset>103505</wp:posOffset>
                  </wp:positionV>
                  <wp:extent cx="6019800" cy="463062"/>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019800" cy="463062"/>
                          </a:xfrm>
                          <a:prstGeom prst="rect">
                            <a:avLst/>
                          </a:prstGeom>
                        </pic:spPr>
                      </pic:pic>
                    </a:graphicData>
                  </a:graphic>
                  <wp14:sizeRelH relativeFrom="page">
                    <wp14:pctWidth>0</wp14:pctWidth>
                  </wp14:sizeRelH>
                  <wp14:sizeRelV relativeFrom="page">
                    <wp14:pctHeight>0</wp14:pctHeight>
                  </wp14:sizeRelV>
                </wp:anchor>
              </w:drawing>
            </w:r>
          </w:p>
        </w:tc>
        <w:tc>
          <w:tcPr>
            <w:tcW w:w="1209" w:type="dxa"/>
          </w:tcPr>
          <w:p w14:paraId="612E5281" w14:textId="77777777" w:rsidR="00664D68" w:rsidRDefault="00664D68" w:rsidP="00662B3F">
            <w:pPr>
              <w:jc w:val="center"/>
              <w:rPr>
                <w:rFonts w:ascii="Calibri" w:hAnsi="Calibri"/>
                <w:color w:val="000000" w:themeColor="text1"/>
                <w:highlight w:val="yellow"/>
                <w:shd w:val="clear" w:color="auto" w:fill="FFFFFF"/>
              </w:rPr>
            </w:pPr>
          </w:p>
          <w:p w14:paraId="4920151A" w14:textId="77777777" w:rsidR="00662B3F" w:rsidRPr="00664D68" w:rsidRDefault="00664D68" w:rsidP="00662B3F">
            <w:pPr>
              <w:jc w:val="center"/>
              <w:rPr>
                <w:color w:val="000000" w:themeColor="text1"/>
              </w:rPr>
            </w:pPr>
            <w:r w:rsidRPr="00664D68">
              <w:rPr>
                <w:rFonts w:ascii="Calibri" w:hAnsi="Calibri"/>
                <w:color w:val="000000" w:themeColor="text1"/>
                <w:shd w:val="clear" w:color="auto" w:fill="FFFFFF"/>
              </w:rPr>
              <w:t>£12,000</w:t>
            </w:r>
          </w:p>
          <w:p w14:paraId="6ED6520C" w14:textId="77777777" w:rsidR="00662B3F" w:rsidRPr="00C82B25" w:rsidRDefault="00662B3F" w:rsidP="00662B3F">
            <w:pPr>
              <w:jc w:val="center"/>
              <w:rPr>
                <w:color w:val="000000" w:themeColor="text1"/>
                <w:highlight w:val="yellow"/>
              </w:rPr>
            </w:pPr>
          </w:p>
        </w:tc>
      </w:tr>
      <w:tr w:rsidR="001542A8" w14:paraId="23E7BE9F" w14:textId="77777777" w:rsidTr="00D80EC9">
        <w:trPr>
          <w:jc w:val="center"/>
        </w:trPr>
        <w:tc>
          <w:tcPr>
            <w:tcW w:w="1696" w:type="dxa"/>
            <w:shd w:val="clear" w:color="auto" w:fill="D9D9D9" w:themeFill="background1" w:themeFillShade="D9"/>
          </w:tcPr>
          <w:p w14:paraId="0C7073F8" w14:textId="77777777" w:rsidR="001542A8" w:rsidRPr="00060EC5" w:rsidRDefault="001542A8" w:rsidP="00662B3F">
            <w:pPr>
              <w:jc w:val="center"/>
              <w:rPr>
                <w:color w:val="000000" w:themeColor="text1"/>
              </w:rPr>
            </w:pPr>
            <w:r>
              <w:rPr>
                <w:color w:val="000000" w:themeColor="text1"/>
              </w:rPr>
              <w:t>Behaviour Support</w:t>
            </w:r>
          </w:p>
        </w:tc>
        <w:tc>
          <w:tcPr>
            <w:tcW w:w="1276" w:type="dxa"/>
          </w:tcPr>
          <w:p w14:paraId="511D9E80" w14:textId="77777777" w:rsidR="001542A8" w:rsidRPr="00060EC5" w:rsidRDefault="001542A8" w:rsidP="00662B3F">
            <w:pPr>
              <w:jc w:val="center"/>
            </w:pPr>
            <w:r>
              <w:t>SSP</w:t>
            </w:r>
          </w:p>
        </w:tc>
        <w:tc>
          <w:tcPr>
            <w:tcW w:w="1701" w:type="dxa"/>
          </w:tcPr>
          <w:p w14:paraId="7856712F" w14:textId="77777777" w:rsidR="001542A8" w:rsidRPr="00060EC5" w:rsidRDefault="001542A8" w:rsidP="00662B3F">
            <w:r>
              <w:t>School-based support available for key students.</w:t>
            </w:r>
          </w:p>
        </w:tc>
        <w:tc>
          <w:tcPr>
            <w:tcW w:w="9506" w:type="dxa"/>
          </w:tcPr>
          <w:p w14:paraId="27410C5D" w14:textId="7DB2BEAF" w:rsidR="001542A8" w:rsidRDefault="00553BB9" w:rsidP="00553BB9">
            <w:pPr>
              <w:rPr>
                <w:rFonts w:eastAsia="Arial" w:cs="Arial"/>
              </w:rPr>
            </w:pPr>
            <w:r w:rsidRPr="00BB5EAC">
              <w:rPr>
                <w:rFonts w:eastAsia="Arial" w:cs="Arial"/>
              </w:rPr>
              <w:t>Identified students can have one to one or small group sessions to provide behaviour support where needed.  This ensures students are able to maximise their progress in school as some of their barriers to success are removed.</w:t>
            </w:r>
            <w:r>
              <w:rPr>
                <w:rFonts w:eastAsia="Arial" w:cs="Arial"/>
              </w:rPr>
              <w:t xml:space="preserve">  In 2019-20 as we have trained some </w:t>
            </w:r>
            <w:r w:rsidRPr="00620449">
              <w:rPr>
                <w:rFonts w:eastAsia="Arial" w:cs="Arial"/>
              </w:rPr>
              <w:t>staff ‘in-house’ in this area and are also moving to P4YP (Positive for Young People) for this provision.</w:t>
            </w:r>
            <w:r w:rsidR="00316EA2" w:rsidRPr="00620449">
              <w:rPr>
                <w:rFonts w:eastAsia="Arial" w:cs="Arial"/>
              </w:rPr>
              <w:t xml:space="preserve">   The EEF estimates that this strategy can add up to 4 months’ progress for students who benefit from this provision.</w:t>
            </w:r>
          </w:p>
          <w:p w14:paraId="05842208" w14:textId="77777777" w:rsidR="004325BE" w:rsidRDefault="004325BE" w:rsidP="00553BB9">
            <w:pPr>
              <w:rPr>
                <w:rFonts w:eastAsia="Arial" w:cs="Arial"/>
              </w:rPr>
            </w:pPr>
          </w:p>
          <w:p w14:paraId="391A4301" w14:textId="77777777" w:rsidR="004325BE" w:rsidRDefault="004325BE" w:rsidP="00553BB9">
            <w:pPr>
              <w:rPr>
                <w:rFonts w:eastAsia="Arial" w:cs="Arial"/>
              </w:rPr>
            </w:pPr>
            <w:r>
              <w:rPr>
                <w:rFonts w:eastAsia="Arial" w:cs="Arial"/>
                <w:noProof/>
                <w:lang w:eastAsia="en-GB"/>
              </w:rPr>
              <w:drawing>
                <wp:anchor distT="0" distB="0" distL="114300" distR="114300" simplePos="0" relativeHeight="251670016" behindDoc="0" locked="0" layoutInCell="1" allowOverlap="1" wp14:anchorId="168A9602" wp14:editId="5DA98851">
                  <wp:simplePos x="0" y="0"/>
                  <wp:positionH relativeFrom="column">
                    <wp:posOffset>-635</wp:posOffset>
                  </wp:positionH>
                  <wp:positionV relativeFrom="paragraph">
                    <wp:posOffset>635</wp:posOffset>
                  </wp:positionV>
                  <wp:extent cx="6066155" cy="5060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66155" cy="506095"/>
                          </a:xfrm>
                          <a:prstGeom prst="rect">
                            <a:avLst/>
                          </a:prstGeom>
                          <a:noFill/>
                        </pic:spPr>
                      </pic:pic>
                    </a:graphicData>
                  </a:graphic>
                  <wp14:sizeRelH relativeFrom="page">
                    <wp14:pctWidth>0</wp14:pctWidth>
                  </wp14:sizeRelH>
                  <wp14:sizeRelV relativeFrom="page">
                    <wp14:pctHeight>0</wp14:pctHeight>
                  </wp14:sizeRelV>
                </wp:anchor>
              </w:drawing>
            </w:r>
          </w:p>
          <w:p w14:paraId="3F895CBF" w14:textId="77777777" w:rsidR="004325BE" w:rsidRPr="004325BE" w:rsidRDefault="004325BE" w:rsidP="00553BB9">
            <w:pPr>
              <w:rPr>
                <w:rFonts w:eastAsia="Arial" w:cs="Arial"/>
              </w:rPr>
            </w:pPr>
            <w:r w:rsidRPr="00664D68">
              <w:rPr>
                <w:noProof/>
                <w:lang w:eastAsia="en-GB"/>
              </w:rPr>
              <w:drawing>
                <wp:anchor distT="0" distB="0" distL="114300" distR="114300" simplePos="0" relativeHeight="251663872" behindDoc="0" locked="0" layoutInCell="1" allowOverlap="1" wp14:anchorId="4BDF711A" wp14:editId="5602DEF1">
                  <wp:simplePos x="0" y="0"/>
                  <wp:positionH relativeFrom="column">
                    <wp:posOffset>-635</wp:posOffset>
                  </wp:positionH>
                  <wp:positionV relativeFrom="paragraph">
                    <wp:posOffset>3175</wp:posOffset>
                  </wp:positionV>
                  <wp:extent cx="6000750" cy="514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000750" cy="514350"/>
                          </a:xfrm>
                          <a:prstGeom prst="rect">
                            <a:avLst/>
                          </a:prstGeom>
                        </pic:spPr>
                      </pic:pic>
                    </a:graphicData>
                  </a:graphic>
                  <wp14:sizeRelH relativeFrom="page">
                    <wp14:pctWidth>0</wp14:pctWidth>
                  </wp14:sizeRelH>
                  <wp14:sizeRelV relativeFrom="page">
                    <wp14:pctHeight>0</wp14:pctHeight>
                  </wp14:sizeRelV>
                </wp:anchor>
              </w:drawing>
            </w:r>
          </w:p>
        </w:tc>
        <w:tc>
          <w:tcPr>
            <w:tcW w:w="1209" w:type="dxa"/>
          </w:tcPr>
          <w:p w14:paraId="13B7EDFF" w14:textId="77777777" w:rsidR="00664D68" w:rsidRDefault="00664D68" w:rsidP="00662B3F">
            <w:pPr>
              <w:jc w:val="center"/>
              <w:rPr>
                <w:rFonts w:ascii="Calibri" w:hAnsi="Calibri"/>
                <w:color w:val="000000" w:themeColor="text1"/>
                <w:shd w:val="clear" w:color="auto" w:fill="FFFFFF"/>
              </w:rPr>
            </w:pPr>
          </w:p>
          <w:p w14:paraId="1232049D" w14:textId="77777777" w:rsidR="001542A8" w:rsidRDefault="001542A8" w:rsidP="00662B3F">
            <w:pPr>
              <w:jc w:val="center"/>
              <w:rPr>
                <w:rFonts w:ascii="Calibri" w:hAnsi="Calibri"/>
                <w:color w:val="000000" w:themeColor="text1"/>
                <w:highlight w:val="yellow"/>
                <w:shd w:val="clear" w:color="auto" w:fill="FFFFFF"/>
              </w:rPr>
            </w:pPr>
            <w:r w:rsidRPr="00553BB9">
              <w:rPr>
                <w:rFonts w:ascii="Calibri" w:hAnsi="Calibri"/>
                <w:color w:val="000000" w:themeColor="text1"/>
                <w:shd w:val="clear" w:color="auto" w:fill="FFFFFF"/>
              </w:rPr>
              <w:t>£9,000</w:t>
            </w:r>
          </w:p>
        </w:tc>
      </w:tr>
      <w:tr w:rsidR="00662B3F" w14:paraId="438571C5" w14:textId="77777777" w:rsidTr="00D80EC9">
        <w:trPr>
          <w:jc w:val="center"/>
        </w:trPr>
        <w:tc>
          <w:tcPr>
            <w:tcW w:w="1696" w:type="dxa"/>
            <w:shd w:val="clear" w:color="auto" w:fill="D9D9D9" w:themeFill="background1" w:themeFillShade="D9"/>
          </w:tcPr>
          <w:p w14:paraId="0C88AD76" w14:textId="77777777" w:rsidR="00662B3F" w:rsidRPr="00CA4852" w:rsidRDefault="00662B3F" w:rsidP="00662B3F">
            <w:pPr>
              <w:jc w:val="center"/>
            </w:pPr>
            <w:r w:rsidRPr="00CA4852">
              <w:t>Student Support Centre</w:t>
            </w:r>
            <w:r w:rsidR="00CA4852" w:rsidRPr="00CA4852">
              <w:t xml:space="preserve"> (Inclusion)</w:t>
            </w:r>
          </w:p>
          <w:p w14:paraId="72733738" w14:textId="77777777" w:rsidR="00662B3F" w:rsidRPr="002D0466" w:rsidRDefault="00662B3F" w:rsidP="00662B3F">
            <w:pPr>
              <w:jc w:val="center"/>
              <w:rPr>
                <w:highlight w:val="yellow"/>
              </w:rPr>
            </w:pPr>
          </w:p>
          <w:p w14:paraId="491A57C1" w14:textId="77777777" w:rsidR="00662B3F" w:rsidRPr="002D0466" w:rsidRDefault="00662B3F" w:rsidP="00662B3F">
            <w:pPr>
              <w:jc w:val="center"/>
              <w:rPr>
                <w:highlight w:val="yellow"/>
              </w:rPr>
            </w:pPr>
          </w:p>
          <w:p w14:paraId="12A55D0F" w14:textId="77777777" w:rsidR="00662B3F" w:rsidRPr="002D0466" w:rsidRDefault="00662B3F" w:rsidP="00662B3F">
            <w:pPr>
              <w:jc w:val="center"/>
              <w:rPr>
                <w:highlight w:val="yellow"/>
              </w:rPr>
            </w:pPr>
          </w:p>
          <w:p w14:paraId="6CEFC909" w14:textId="77777777" w:rsidR="00662B3F" w:rsidRPr="002D0466" w:rsidRDefault="00662B3F" w:rsidP="00662B3F">
            <w:pPr>
              <w:jc w:val="center"/>
              <w:rPr>
                <w:highlight w:val="yellow"/>
              </w:rPr>
            </w:pPr>
          </w:p>
        </w:tc>
        <w:tc>
          <w:tcPr>
            <w:tcW w:w="1276" w:type="dxa"/>
          </w:tcPr>
          <w:p w14:paraId="46004E23" w14:textId="77777777" w:rsidR="00662B3F" w:rsidRPr="002D0466" w:rsidRDefault="00CA4852" w:rsidP="00662B3F">
            <w:pPr>
              <w:jc w:val="center"/>
              <w:rPr>
                <w:highlight w:val="yellow"/>
              </w:rPr>
            </w:pPr>
            <w:r w:rsidRPr="00CA4852">
              <w:t>SSP</w:t>
            </w:r>
          </w:p>
        </w:tc>
        <w:tc>
          <w:tcPr>
            <w:tcW w:w="1701" w:type="dxa"/>
          </w:tcPr>
          <w:p w14:paraId="14C275E6" w14:textId="77777777" w:rsidR="00662B3F" w:rsidRPr="002D0466" w:rsidRDefault="00662B3F" w:rsidP="00662B3F">
            <w:pPr>
              <w:rPr>
                <w:highlight w:val="yellow"/>
              </w:rPr>
            </w:pPr>
            <w:r w:rsidRPr="00CA4852">
              <w:t>Removal of potential barriers to learning, progress and achievement.</w:t>
            </w:r>
          </w:p>
        </w:tc>
        <w:tc>
          <w:tcPr>
            <w:tcW w:w="9506" w:type="dxa"/>
          </w:tcPr>
          <w:p w14:paraId="0331C296" w14:textId="3E543A70" w:rsidR="00662B3F" w:rsidRPr="00664D68" w:rsidRDefault="00316EA2" w:rsidP="00662B3F">
            <w:pPr>
              <w:jc w:val="both"/>
            </w:pPr>
            <w:r>
              <w:t>The SS</w:t>
            </w:r>
            <w:r w:rsidR="00CA4852" w:rsidRPr="00664D68">
              <w:t xml:space="preserve">C at The </w:t>
            </w:r>
            <w:r w:rsidR="00664D68" w:rsidRPr="00664D68">
              <w:t>Bolsover</w:t>
            </w:r>
            <w:r w:rsidR="00CA4852" w:rsidRPr="00664D68">
              <w:t xml:space="preserve"> School provides targeted</w:t>
            </w:r>
            <w:r w:rsidR="00662B3F" w:rsidRPr="00664D68">
              <w:t xml:space="preserve"> intervention to help to improve behaviour, attendance and other barriers to students making expected progress</w:t>
            </w:r>
            <w:r w:rsidR="00662B3F" w:rsidRPr="00620449">
              <w:t>.</w:t>
            </w:r>
            <w:r w:rsidR="00CA4852" w:rsidRPr="00620449">
              <w:t xml:space="preserve"> </w:t>
            </w:r>
            <w:r w:rsidR="00662B3F" w:rsidRPr="00620449">
              <w:t xml:space="preserve"> </w:t>
            </w:r>
            <w:r w:rsidRPr="00620449">
              <w:t xml:space="preserve">EEF </w:t>
            </w:r>
            <w:r w:rsidR="00662B3F" w:rsidRPr="00620449">
              <w:t>Evidence</w:t>
            </w:r>
            <w:r w:rsidR="00662B3F" w:rsidRPr="00664D68">
              <w:t xml:space="preserve"> suggests that this type of intervention has a moderate impact on student progress with moderate cost implications. The SSC at </w:t>
            </w:r>
            <w:r w:rsidR="00CA4852" w:rsidRPr="00664D68">
              <w:t>Bolsover</w:t>
            </w:r>
            <w:r w:rsidR="00662B3F" w:rsidRPr="00664D68">
              <w:t xml:space="preserve"> plays a vital role in support</w:t>
            </w:r>
            <w:r w:rsidR="00CA4852" w:rsidRPr="00664D68">
              <w:t>ing</w:t>
            </w:r>
            <w:r w:rsidR="00662B3F" w:rsidRPr="00664D68">
              <w:t xml:space="preserve"> students with behavioural and/or social/emotional needs. The team works closely with students, parents and teachers in order to ensure that students maximise their achievement whilst receiving the support they need. The </w:t>
            </w:r>
            <w:r w:rsidR="00CA4852" w:rsidRPr="00664D68">
              <w:t>school</w:t>
            </w:r>
            <w:r w:rsidR="00662B3F" w:rsidRPr="00664D68">
              <w:t xml:space="preserve"> also liaises closely with external agencies to support students in the SSC; including: CAMH</w:t>
            </w:r>
            <w:r w:rsidR="00CA4852" w:rsidRPr="00664D68">
              <w:t>S, The Elm Foundation and Kooth.</w:t>
            </w:r>
          </w:p>
          <w:p w14:paraId="2702B9A7" w14:textId="77777777" w:rsidR="00662B3F" w:rsidRPr="00664D68" w:rsidRDefault="00662B3F" w:rsidP="00662B3F">
            <w:r w:rsidRPr="00664D68">
              <w:rPr>
                <w:noProof/>
                <w:lang w:eastAsia="en-GB"/>
              </w:rPr>
              <w:drawing>
                <wp:inline distT="0" distB="0" distL="0" distR="0" wp14:anchorId="472F9DFD" wp14:editId="08CCD5F8">
                  <wp:extent cx="606742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67425" cy="504825"/>
                          </a:xfrm>
                          <a:prstGeom prst="rect">
                            <a:avLst/>
                          </a:prstGeom>
                        </pic:spPr>
                      </pic:pic>
                    </a:graphicData>
                  </a:graphic>
                </wp:inline>
              </w:drawing>
            </w:r>
          </w:p>
          <w:p w14:paraId="2E990840" w14:textId="77777777" w:rsidR="00662B3F" w:rsidRPr="00664D68" w:rsidRDefault="00662B3F" w:rsidP="00662B3F">
            <w:r w:rsidRPr="00664D68">
              <w:rPr>
                <w:noProof/>
                <w:lang w:eastAsia="en-GB"/>
              </w:rPr>
              <w:drawing>
                <wp:inline distT="0" distB="0" distL="0" distR="0" wp14:anchorId="35394384" wp14:editId="70DFF02C">
                  <wp:extent cx="6000750"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00750" cy="514350"/>
                          </a:xfrm>
                          <a:prstGeom prst="rect">
                            <a:avLst/>
                          </a:prstGeom>
                        </pic:spPr>
                      </pic:pic>
                    </a:graphicData>
                  </a:graphic>
                </wp:inline>
              </w:drawing>
            </w:r>
          </w:p>
        </w:tc>
        <w:tc>
          <w:tcPr>
            <w:tcW w:w="1209" w:type="dxa"/>
          </w:tcPr>
          <w:p w14:paraId="3FDE3BCB" w14:textId="77777777" w:rsidR="00C66666" w:rsidRDefault="00C66666" w:rsidP="00662B3F">
            <w:pPr>
              <w:jc w:val="center"/>
              <w:rPr>
                <w:rFonts w:ascii="Calibri" w:hAnsi="Calibri"/>
                <w:color w:val="000000" w:themeColor="text1"/>
                <w:shd w:val="clear" w:color="auto" w:fill="FFFFFF"/>
              </w:rPr>
            </w:pPr>
          </w:p>
          <w:p w14:paraId="4BA8AB98" w14:textId="77777777" w:rsidR="00662B3F" w:rsidRPr="001F0FFC" w:rsidRDefault="009140FB" w:rsidP="00662B3F">
            <w:pPr>
              <w:jc w:val="center"/>
              <w:rPr>
                <w:color w:val="000000" w:themeColor="text1"/>
              </w:rPr>
            </w:pPr>
            <w:r>
              <w:rPr>
                <w:rFonts w:ascii="Calibri" w:hAnsi="Calibri"/>
                <w:color w:val="000000" w:themeColor="text1"/>
                <w:shd w:val="clear" w:color="auto" w:fill="FFFFFF"/>
              </w:rPr>
              <w:t xml:space="preserve">£30,000 </w:t>
            </w:r>
          </w:p>
          <w:p w14:paraId="20CBBFAF" w14:textId="77777777" w:rsidR="00662B3F" w:rsidRPr="001F0FFC" w:rsidRDefault="00662B3F" w:rsidP="00662B3F">
            <w:pPr>
              <w:jc w:val="center"/>
            </w:pPr>
          </w:p>
        </w:tc>
      </w:tr>
      <w:tr w:rsidR="00662B3F" w14:paraId="70FC92C2" w14:textId="77777777" w:rsidTr="00D80EC9">
        <w:trPr>
          <w:jc w:val="center"/>
        </w:trPr>
        <w:tc>
          <w:tcPr>
            <w:tcW w:w="1696" w:type="dxa"/>
            <w:shd w:val="clear" w:color="auto" w:fill="D9D9D9" w:themeFill="background1" w:themeFillShade="D9"/>
          </w:tcPr>
          <w:p w14:paraId="716A5A32" w14:textId="55B31175" w:rsidR="00662B3F" w:rsidRPr="002D0466" w:rsidRDefault="005E6988" w:rsidP="005E6988">
            <w:pPr>
              <w:jc w:val="center"/>
              <w:rPr>
                <w:highlight w:val="yellow"/>
              </w:rPr>
            </w:pPr>
            <w:r>
              <w:lastRenderedPageBreak/>
              <w:t xml:space="preserve">Reading Interventions &amp; </w:t>
            </w:r>
            <w:r w:rsidR="001C1F77">
              <w:t>Support at unstructured times and after the end of the school day</w:t>
            </w:r>
            <w:r w:rsidR="006C3C55">
              <w:t xml:space="preserve"> &amp; </w:t>
            </w:r>
          </w:p>
        </w:tc>
        <w:tc>
          <w:tcPr>
            <w:tcW w:w="1276" w:type="dxa"/>
          </w:tcPr>
          <w:p w14:paraId="181322E2" w14:textId="77777777" w:rsidR="00662B3F" w:rsidRPr="002D0466" w:rsidRDefault="00662B3F" w:rsidP="00662B3F">
            <w:pPr>
              <w:jc w:val="center"/>
              <w:rPr>
                <w:highlight w:val="yellow"/>
              </w:rPr>
            </w:pPr>
            <w:r w:rsidRPr="005F76C4">
              <w:t>LHA, JKI</w:t>
            </w:r>
            <w:r w:rsidR="001C1F77">
              <w:t>, JPR</w:t>
            </w:r>
          </w:p>
        </w:tc>
        <w:tc>
          <w:tcPr>
            <w:tcW w:w="1701" w:type="dxa"/>
          </w:tcPr>
          <w:p w14:paraId="3E45AA80" w14:textId="608A5B0D" w:rsidR="005E6988" w:rsidRDefault="005E6988" w:rsidP="00662B3F">
            <w:r>
              <w:t>Reading ages improve.</w:t>
            </w:r>
          </w:p>
          <w:p w14:paraId="15DE8EFC" w14:textId="77777777" w:rsidR="005E6988" w:rsidRDefault="005E6988" w:rsidP="00662B3F"/>
          <w:p w14:paraId="312DEF2D" w14:textId="285311CC" w:rsidR="00662B3F" w:rsidRPr="002A1590" w:rsidRDefault="00E202A4" w:rsidP="00662B3F">
            <w:r w:rsidRPr="002A1590">
              <w:t>PP students regularly attend the library</w:t>
            </w:r>
            <w:r w:rsidR="005E6988">
              <w:t>/after school provisions</w:t>
            </w:r>
            <w:r w:rsidRPr="002A1590">
              <w:t>.</w:t>
            </w:r>
          </w:p>
          <w:p w14:paraId="4A3D583B" w14:textId="77777777" w:rsidR="00E202A4" w:rsidRPr="002A1590" w:rsidRDefault="00E202A4" w:rsidP="00662B3F"/>
          <w:p w14:paraId="2E6EA2D5" w14:textId="77777777" w:rsidR="00E202A4" w:rsidRPr="002D0466" w:rsidRDefault="00E202A4" w:rsidP="00662B3F">
            <w:pPr>
              <w:rPr>
                <w:highlight w:val="yellow"/>
              </w:rPr>
            </w:pPr>
            <w:r w:rsidRPr="002A1590">
              <w:t>Students &amp; parents continue to engage with homework using SMHW.</w:t>
            </w:r>
          </w:p>
        </w:tc>
        <w:tc>
          <w:tcPr>
            <w:tcW w:w="9506" w:type="dxa"/>
          </w:tcPr>
          <w:p w14:paraId="572C7562" w14:textId="4B01B500" w:rsidR="006C3C55" w:rsidRDefault="00F52CBC" w:rsidP="00E202A4">
            <w:r w:rsidRPr="00664D68">
              <w:rPr>
                <w:noProof/>
                <w:lang w:eastAsia="en-GB"/>
              </w:rPr>
              <w:drawing>
                <wp:anchor distT="0" distB="0" distL="114300" distR="114300" simplePos="0" relativeHeight="251664896" behindDoc="0" locked="0" layoutInCell="1" allowOverlap="1" wp14:anchorId="5A0DC44A" wp14:editId="0D19307F">
                  <wp:simplePos x="0" y="0"/>
                  <wp:positionH relativeFrom="column">
                    <wp:posOffset>-65109</wp:posOffset>
                  </wp:positionH>
                  <wp:positionV relativeFrom="paragraph">
                    <wp:posOffset>2589323</wp:posOffset>
                  </wp:positionV>
                  <wp:extent cx="6028055" cy="567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6028055" cy="567690"/>
                          </a:xfrm>
                          <a:prstGeom prst="rect">
                            <a:avLst/>
                          </a:prstGeom>
                        </pic:spPr>
                      </pic:pic>
                    </a:graphicData>
                  </a:graphic>
                  <wp14:sizeRelH relativeFrom="page">
                    <wp14:pctWidth>0</wp14:pctWidth>
                  </wp14:sizeRelH>
                  <wp14:sizeRelV relativeFrom="page">
                    <wp14:pctHeight>0</wp14:pctHeight>
                  </wp14:sizeRelV>
                </wp:anchor>
              </w:drawing>
            </w:r>
            <w:r w:rsidR="005E6988" w:rsidRPr="00786510">
              <w:t>Reading int</w:t>
            </w:r>
            <w:r w:rsidR="005E6988">
              <w:t>erventions include DEAR (Y7 and Y8</w:t>
            </w:r>
            <w:r w:rsidR="005E6988" w:rsidRPr="00786510">
              <w:t xml:space="preserve"> students ‘Drop Everything And Read’ for 15 minutes each day during lesson time</w:t>
            </w:r>
            <w:r w:rsidR="005E6988">
              <w:t xml:space="preserve"> on a carousel basis</w:t>
            </w:r>
            <w:r w:rsidR="005E6988" w:rsidRPr="00786510">
              <w:t>).  ARTI and Accelerated Reader was in place last year for Y7 and will now rolled out to include Y8.  Students have one Accelerated reader lesson per week.  ARTi results last year showed that on average, Y7 students increased their reading age by 13.2 months in 4 months.</w:t>
            </w:r>
            <w:r w:rsidR="005E6988">
              <w:t xml:space="preserve">  </w:t>
            </w:r>
            <w:r w:rsidR="00662B3F" w:rsidRPr="00664D68">
              <w:t xml:space="preserve">There is a breakfast club available daily for all students free of charge which allows us to ensure students are fed and ready for the day ahead.  The LRC also supports a number of literacy based intervention strategies targeting all students at Bolsover. </w:t>
            </w:r>
            <w:r w:rsidR="005E6988">
              <w:t xml:space="preserve"> </w:t>
            </w:r>
            <w:r w:rsidR="00662B3F" w:rsidRPr="00664D68">
              <w:t xml:space="preserve">In addition, it enables students to access computers and is the base of the daily homework club from 3-4pm, as well as being open for support at break and lunchtime. This space is vitally import for students who lack facilities at home or who do not have access to a quiet environment where they can concentrate on homework and receive support and guidance </w:t>
            </w:r>
            <w:r w:rsidR="00662B3F" w:rsidRPr="00786510">
              <w:t>when necessary. Although the EEF rate this type of intervention as potentially low impact, use of the LRC before, during and a</w:t>
            </w:r>
            <w:r w:rsidR="00E202A4" w:rsidRPr="00786510">
              <w:t>fter school suggests otherwise.  100% of Y7 students made regular use of the library last year.  SMHW is an app that allows students and parents to track homework.  Student activity at The Bolsover School is classed as ‘high’ with 92% of students using it last term.  Parental activity is ‘above average’.</w:t>
            </w:r>
            <w:r w:rsidR="006C3C55" w:rsidRPr="00786510">
              <w:t xml:space="preserve">  96% of PP students were active users of SMHW last year.  </w:t>
            </w:r>
          </w:p>
          <w:p w14:paraId="1B42903E" w14:textId="2A5E89D1" w:rsidR="00662B3F" w:rsidRPr="00664D68" w:rsidRDefault="00662B3F" w:rsidP="00662B3F">
            <w:r w:rsidRPr="00664D68">
              <w:rPr>
                <w:noProof/>
                <w:lang w:eastAsia="en-GB"/>
              </w:rPr>
              <w:drawing>
                <wp:inline distT="0" distB="0" distL="0" distR="0" wp14:anchorId="1CF7881F" wp14:editId="5F2DC3E2">
                  <wp:extent cx="59055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05500" cy="485775"/>
                          </a:xfrm>
                          <a:prstGeom prst="rect">
                            <a:avLst/>
                          </a:prstGeom>
                        </pic:spPr>
                      </pic:pic>
                    </a:graphicData>
                  </a:graphic>
                </wp:inline>
              </w:drawing>
            </w:r>
          </w:p>
          <w:p w14:paraId="63A44887" w14:textId="77777777" w:rsidR="002A1590" w:rsidRPr="00664D68" w:rsidRDefault="002A1590" w:rsidP="00662B3F">
            <w:r w:rsidRPr="00664D68">
              <w:rPr>
                <w:noProof/>
                <w:lang w:eastAsia="en-GB"/>
              </w:rPr>
              <w:drawing>
                <wp:inline distT="0" distB="0" distL="0" distR="0" wp14:anchorId="79C09EE6" wp14:editId="6D9CC9AC">
                  <wp:extent cx="6010275" cy="544830"/>
                  <wp:effectExtent l="0" t="0" r="952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9901" cy="555674"/>
                          </a:xfrm>
                          <a:prstGeom prst="rect">
                            <a:avLst/>
                          </a:prstGeom>
                        </pic:spPr>
                      </pic:pic>
                    </a:graphicData>
                  </a:graphic>
                </wp:inline>
              </w:drawing>
            </w:r>
          </w:p>
          <w:p w14:paraId="307F511D" w14:textId="77777777" w:rsidR="002A1590" w:rsidRPr="00664D68" w:rsidRDefault="002A1590" w:rsidP="00662B3F">
            <w:r w:rsidRPr="00664D68">
              <w:rPr>
                <w:noProof/>
                <w:lang w:eastAsia="en-GB"/>
              </w:rPr>
              <w:drawing>
                <wp:inline distT="0" distB="0" distL="0" distR="0" wp14:anchorId="32F1CFE2" wp14:editId="01C0E972">
                  <wp:extent cx="6010275" cy="5238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10275" cy="523875"/>
                          </a:xfrm>
                          <a:prstGeom prst="rect">
                            <a:avLst/>
                          </a:prstGeom>
                        </pic:spPr>
                      </pic:pic>
                    </a:graphicData>
                  </a:graphic>
                </wp:inline>
              </w:drawing>
            </w:r>
          </w:p>
        </w:tc>
        <w:tc>
          <w:tcPr>
            <w:tcW w:w="1209" w:type="dxa"/>
          </w:tcPr>
          <w:p w14:paraId="1F5798DC" w14:textId="77777777" w:rsidR="00662B3F" w:rsidRPr="001C5FDA" w:rsidRDefault="00662B3F" w:rsidP="00662B3F">
            <w:pPr>
              <w:jc w:val="center"/>
              <w:rPr>
                <w:color w:val="000000" w:themeColor="text1"/>
              </w:rPr>
            </w:pPr>
          </w:p>
          <w:p w14:paraId="7E8FE2CB" w14:textId="77777777" w:rsidR="00662B3F" w:rsidRPr="001C5FDA" w:rsidRDefault="00117815" w:rsidP="00664D68">
            <w:pPr>
              <w:jc w:val="center"/>
            </w:pPr>
            <w:r>
              <w:t>£25,000</w:t>
            </w:r>
          </w:p>
        </w:tc>
      </w:tr>
      <w:tr w:rsidR="00662B3F" w14:paraId="0EBDEADD" w14:textId="77777777" w:rsidTr="00D80EC9">
        <w:trPr>
          <w:jc w:val="center"/>
        </w:trPr>
        <w:tc>
          <w:tcPr>
            <w:tcW w:w="1696" w:type="dxa"/>
            <w:shd w:val="clear" w:color="auto" w:fill="D9D9D9" w:themeFill="background1" w:themeFillShade="D9"/>
          </w:tcPr>
          <w:p w14:paraId="249716FC" w14:textId="77777777" w:rsidR="00662B3F" w:rsidRPr="001C5FDA" w:rsidRDefault="00662B3F" w:rsidP="00662B3F">
            <w:pPr>
              <w:jc w:val="center"/>
            </w:pPr>
            <w:r w:rsidRPr="001C5FDA">
              <w:br w:type="page"/>
              <w:t>SIMS / SISRA</w:t>
            </w:r>
          </w:p>
        </w:tc>
        <w:tc>
          <w:tcPr>
            <w:tcW w:w="1276" w:type="dxa"/>
          </w:tcPr>
          <w:p w14:paraId="53599AC9" w14:textId="77777777" w:rsidR="00662B3F" w:rsidRPr="001C5FDA" w:rsidRDefault="001C5FDA" w:rsidP="00662B3F">
            <w:pPr>
              <w:jc w:val="center"/>
            </w:pPr>
            <w:r>
              <w:t>DPA/LHA</w:t>
            </w:r>
          </w:p>
        </w:tc>
        <w:tc>
          <w:tcPr>
            <w:tcW w:w="1701" w:type="dxa"/>
          </w:tcPr>
          <w:p w14:paraId="2F93F7AC" w14:textId="77777777" w:rsidR="00662B3F" w:rsidRPr="001C5FDA" w:rsidRDefault="00662B3F" w:rsidP="00662B3F">
            <w:r w:rsidRPr="001C5FDA">
              <w:t>Increased whole staff use of SISRA and SIMS to analyse data.</w:t>
            </w:r>
          </w:p>
          <w:p w14:paraId="5A91557A" w14:textId="77777777" w:rsidR="00662B3F" w:rsidRPr="001C5FDA" w:rsidRDefault="00662B3F" w:rsidP="00662B3F"/>
          <w:p w14:paraId="14891AEA" w14:textId="77777777" w:rsidR="00662B3F" w:rsidRPr="001C5FDA" w:rsidRDefault="00662B3F" w:rsidP="00662B3F">
            <w:r w:rsidRPr="001C5FDA">
              <w:t>Quicker identification of underachieving students.</w:t>
            </w:r>
          </w:p>
          <w:p w14:paraId="6ADA4491" w14:textId="77777777" w:rsidR="00662B3F" w:rsidRPr="001C5FDA" w:rsidRDefault="00662B3F" w:rsidP="00662B3F"/>
          <w:p w14:paraId="52856C68" w14:textId="77777777" w:rsidR="00662B3F" w:rsidRPr="001C5FDA" w:rsidRDefault="00662B3F" w:rsidP="00662B3F">
            <w:r w:rsidRPr="001C5FDA">
              <w:t>Increased outcomes.</w:t>
            </w:r>
          </w:p>
        </w:tc>
        <w:tc>
          <w:tcPr>
            <w:tcW w:w="9506" w:type="dxa"/>
          </w:tcPr>
          <w:p w14:paraId="639CA3D3" w14:textId="586AC279" w:rsidR="00662B3F" w:rsidRPr="001C5FDA" w:rsidRDefault="00662B3F" w:rsidP="00662B3F">
            <w:pPr>
              <w:jc w:val="both"/>
            </w:pPr>
            <w:r w:rsidRPr="001C5FDA">
              <w:t xml:space="preserve">EEF research shows that the use of digital technology can have a moderate impact on student outcomes. </w:t>
            </w:r>
            <w:r w:rsidR="001C5FDA" w:rsidRPr="001C5FDA">
              <w:t xml:space="preserve"> </w:t>
            </w:r>
            <w:r w:rsidRPr="001C5FDA">
              <w:t xml:space="preserve">With the constantly evolving data available to staff, continued training in the use of SISRA will be vital to plan lessons, arrange effective intervention and </w:t>
            </w:r>
            <w:r w:rsidR="00405923">
              <w:t>ensure</w:t>
            </w:r>
            <w:r w:rsidRPr="001C5FDA">
              <w:t xml:space="preserve"> accurate predictions. The use of these technologies enables all staff to maximise their use and analysis of data, helping to identify underachievement, implement intervention quickly, thus having a positive impact on student outcomes.</w:t>
            </w:r>
            <w:r w:rsidR="00316EA2">
              <w:t xml:space="preserve">  This year we have </w:t>
            </w:r>
            <w:r w:rsidR="00316EA2" w:rsidRPr="00620449">
              <w:t xml:space="preserve">added </w:t>
            </w:r>
            <w:r w:rsidR="001C5FDA" w:rsidRPr="00620449">
              <w:t>SIMS</w:t>
            </w:r>
            <w:r w:rsidR="00316EA2" w:rsidRPr="00620449">
              <w:t xml:space="preserve"> Activities</w:t>
            </w:r>
            <w:r w:rsidR="001C5FDA" w:rsidRPr="00620449">
              <w:t xml:space="preserve"> to</w:t>
            </w:r>
            <w:r w:rsidR="001C5FDA" w:rsidRPr="001C5FDA">
              <w:t xml:space="preserve"> our package to allow us to monitor student attendance at Curriculum Plus activities and interventions </w:t>
            </w:r>
            <w:r w:rsidR="00220B4C">
              <w:t>(</w:t>
            </w:r>
            <w:r w:rsidR="001C5FDA" w:rsidRPr="001C5FDA">
              <w:t>which take place ou</w:t>
            </w:r>
            <w:r w:rsidR="00316EA2">
              <w:t>t</w:t>
            </w:r>
            <w:r w:rsidR="001C5FDA" w:rsidRPr="001C5FDA">
              <w:t>side normal lessons</w:t>
            </w:r>
            <w:r w:rsidR="00220B4C">
              <w:t>) more rigorously this year</w:t>
            </w:r>
            <w:r w:rsidR="001C5FDA" w:rsidRPr="001C5FDA">
              <w:t>.</w:t>
            </w:r>
            <w:r w:rsidRPr="001C5FDA">
              <w:t xml:space="preserve">    </w:t>
            </w:r>
          </w:p>
          <w:p w14:paraId="0B45D1E3" w14:textId="77777777" w:rsidR="00662B3F" w:rsidRPr="001C5FDA" w:rsidRDefault="00662B3F" w:rsidP="00662B3F">
            <w:r w:rsidRPr="001C5FDA">
              <w:rPr>
                <w:noProof/>
                <w:lang w:eastAsia="en-GB"/>
              </w:rPr>
              <w:drawing>
                <wp:inline distT="0" distB="0" distL="0" distR="0" wp14:anchorId="60C873CF" wp14:editId="050FAB4A">
                  <wp:extent cx="6010275" cy="523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10275" cy="523875"/>
                          </a:xfrm>
                          <a:prstGeom prst="rect">
                            <a:avLst/>
                          </a:prstGeom>
                        </pic:spPr>
                      </pic:pic>
                    </a:graphicData>
                  </a:graphic>
                </wp:inline>
              </w:drawing>
            </w:r>
          </w:p>
        </w:tc>
        <w:tc>
          <w:tcPr>
            <w:tcW w:w="1209" w:type="dxa"/>
          </w:tcPr>
          <w:p w14:paraId="1091AB17" w14:textId="77777777" w:rsidR="00664D68" w:rsidRDefault="00664D68" w:rsidP="00662B3F">
            <w:pPr>
              <w:jc w:val="center"/>
              <w:rPr>
                <w:rFonts w:ascii="Calibri" w:hAnsi="Calibri"/>
                <w:color w:val="000000" w:themeColor="text1"/>
                <w:shd w:val="clear" w:color="auto" w:fill="FFFFFF"/>
              </w:rPr>
            </w:pPr>
          </w:p>
          <w:p w14:paraId="3F5D389E" w14:textId="77777777" w:rsidR="00662B3F" w:rsidRPr="001F0FFC" w:rsidRDefault="00084448" w:rsidP="00662B3F">
            <w:pPr>
              <w:jc w:val="center"/>
              <w:rPr>
                <w:color w:val="000000" w:themeColor="text1"/>
              </w:rPr>
            </w:pPr>
            <w:r>
              <w:rPr>
                <w:rFonts w:ascii="Calibri" w:hAnsi="Calibri"/>
                <w:color w:val="000000" w:themeColor="text1"/>
                <w:shd w:val="clear" w:color="auto" w:fill="FFFFFF"/>
              </w:rPr>
              <w:t>£11,105</w:t>
            </w:r>
          </w:p>
          <w:p w14:paraId="7651E621" w14:textId="77777777" w:rsidR="00662B3F" w:rsidRPr="001F0FFC" w:rsidRDefault="00662B3F" w:rsidP="00662B3F">
            <w:pPr>
              <w:jc w:val="center"/>
              <w:rPr>
                <w:color w:val="000000" w:themeColor="text1"/>
              </w:rPr>
            </w:pPr>
          </w:p>
          <w:p w14:paraId="3EF66CEF" w14:textId="77777777" w:rsidR="00662B3F" w:rsidRPr="001F0FFC" w:rsidRDefault="00662B3F" w:rsidP="00662B3F">
            <w:pPr>
              <w:jc w:val="center"/>
            </w:pPr>
          </w:p>
        </w:tc>
      </w:tr>
      <w:tr w:rsidR="00084448" w14:paraId="27E0CBE0" w14:textId="77777777" w:rsidTr="00D80EC9">
        <w:trPr>
          <w:jc w:val="center"/>
        </w:trPr>
        <w:tc>
          <w:tcPr>
            <w:tcW w:w="1696" w:type="dxa"/>
            <w:shd w:val="clear" w:color="auto" w:fill="D9D9D9" w:themeFill="background1" w:themeFillShade="D9"/>
          </w:tcPr>
          <w:p w14:paraId="26E7D230" w14:textId="77777777" w:rsidR="00084448" w:rsidRPr="001C5FDA" w:rsidRDefault="00084448" w:rsidP="00662B3F">
            <w:pPr>
              <w:jc w:val="center"/>
            </w:pPr>
            <w:r>
              <w:t>Uniform Store</w:t>
            </w:r>
          </w:p>
        </w:tc>
        <w:tc>
          <w:tcPr>
            <w:tcW w:w="1276" w:type="dxa"/>
          </w:tcPr>
          <w:p w14:paraId="2677543B" w14:textId="77777777" w:rsidR="00084448" w:rsidRDefault="00084448" w:rsidP="00662B3F">
            <w:pPr>
              <w:jc w:val="center"/>
            </w:pPr>
            <w:r>
              <w:t>ACH/LHA</w:t>
            </w:r>
          </w:p>
        </w:tc>
        <w:tc>
          <w:tcPr>
            <w:tcW w:w="1701" w:type="dxa"/>
          </w:tcPr>
          <w:p w14:paraId="4AE71846" w14:textId="77777777" w:rsidR="00084448" w:rsidRDefault="00084448" w:rsidP="00662B3F">
            <w:r>
              <w:t>Students in full school uniform in lessons.</w:t>
            </w:r>
          </w:p>
          <w:p w14:paraId="1E9B2227" w14:textId="77777777" w:rsidR="00084448" w:rsidRDefault="00084448" w:rsidP="00662B3F"/>
          <w:p w14:paraId="4079FB26" w14:textId="763B32EF" w:rsidR="00084448" w:rsidRPr="001C5FDA" w:rsidRDefault="00010184" w:rsidP="00010184">
            <w:r>
              <w:t>Reduce</w:t>
            </w:r>
            <w:r w:rsidR="00084448">
              <w:t xml:space="preserve"> number of students isolated for uniform</w:t>
            </w:r>
            <w:r>
              <w:t xml:space="preserve"> issues</w:t>
            </w:r>
            <w:r w:rsidR="00084448">
              <w:t>.</w:t>
            </w:r>
          </w:p>
        </w:tc>
        <w:tc>
          <w:tcPr>
            <w:tcW w:w="9506" w:type="dxa"/>
          </w:tcPr>
          <w:p w14:paraId="2420630C" w14:textId="73CAC4C3" w:rsidR="008B6CB9" w:rsidRDefault="00084448" w:rsidP="00662B3F">
            <w:pPr>
              <w:jc w:val="both"/>
            </w:pPr>
            <w:r>
              <w:t>Although the EEF considers this type of intervention as having low impact, we have high standards for uniform at The Bolsover School.  This resource is therefore invaluable to ensure students can remain in lessons rather than be isolated away from the classroom for uniform issues.  Students can loan a wide range of uniform items as and when required.  The standard of uniform of all students on</w:t>
            </w:r>
            <w:r w:rsidR="00010184">
              <w:t xml:space="preserve"> school site is extremely high.</w:t>
            </w:r>
          </w:p>
          <w:p w14:paraId="3CAFA04F" w14:textId="1154D010" w:rsidR="00084448" w:rsidRPr="001C5FDA" w:rsidRDefault="008B6CB9" w:rsidP="00662B3F">
            <w:pPr>
              <w:jc w:val="both"/>
            </w:pPr>
            <w:r>
              <w:rPr>
                <w:noProof/>
                <w:lang w:eastAsia="en-GB"/>
              </w:rPr>
              <w:drawing>
                <wp:inline distT="0" distB="0" distL="0" distR="0" wp14:anchorId="452AED41" wp14:editId="1ADCB95F">
                  <wp:extent cx="5899150" cy="509270"/>
                  <wp:effectExtent l="0" t="0" r="635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899150" cy="509270"/>
                          </a:xfrm>
                          <a:prstGeom prst="rect">
                            <a:avLst/>
                          </a:prstGeom>
                        </pic:spPr>
                      </pic:pic>
                    </a:graphicData>
                  </a:graphic>
                </wp:inline>
              </w:drawing>
            </w:r>
          </w:p>
        </w:tc>
        <w:tc>
          <w:tcPr>
            <w:tcW w:w="1209" w:type="dxa"/>
          </w:tcPr>
          <w:p w14:paraId="38A5BCE8" w14:textId="77777777" w:rsidR="00F768BE" w:rsidRDefault="00F768BE" w:rsidP="00662B3F">
            <w:pPr>
              <w:jc w:val="center"/>
              <w:rPr>
                <w:rFonts w:ascii="Calibri" w:hAnsi="Calibri"/>
                <w:color w:val="000000" w:themeColor="text1"/>
                <w:shd w:val="clear" w:color="auto" w:fill="FFFFFF"/>
              </w:rPr>
            </w:pPr>
          </w:p>
          <w:p w14:paraId="494CF1B0" w14:textId="77777777" w:rsidR="00084448" w:rsidRPr="00F768BE" w:rsidRDefault="00F768BE" w:rsidP="00F768BE">
            <w:pPr>
              <w:tabs>
                <w:tab w:val="left" w:pos="810"/>
              </w:tabs>
              <w:jc w:val="center"/>
              <w:rPr>
                <w:rFonts w:ascii="Calibri" w:hAnsi="Calibri"/>
              </w:rPr>
            </w:pPr>
            <w:r>
              <w:rPr>
                <w:rFonts w:ascii="Calibri" w:hAnsi="Calibri"/>
              </w:rPr>
              <w:t>£1,700</w:t>
            </w:r>
          </w:p>
        </w:tc>
      </w:tr>
      <w:tr w:rsidR="00662B3F" w14:paraId="3C631C75" w14:textId="77777777" w:rsidTr="00D80EC9">
        <w:trPr>
          <w:jc w:val="center"/>
        </w:trPr>
        <w:tc>
          <w:tcPr>
            <w:tcW w:w="1696" w:type="dxa"/>
            <w:shd w:val="clear" w:color="auto" w:fill="D9D9D9" w:themeFill="background1" w:themeFillShade="D9"/>
          </w:tcPr>
          <w:p w14:paraId="75FA092B" w14:textId="45EBC461" w:rsidR="00662B3F" w:rsidRPr="00664D68" w:rsidRDefault="00662B3F" w:rsidP="00662B3F">
            <w:pPr>
              <w:jc w:val="center"/>
              <w:rPr>
                <w:color w:val="000000" w:themeColor="text1"/>
              </w:rPr>
            </w:pPr>
            <w:r w:rsidRPr="00664D68">
              <w:rPr>
                <w:color w:val="000000" w:themeColor="text1"/>
              </w:rPr>
              <w:t xml:space="preserve">Use of the Trust </w:t>
            </w:r>
            <w:r w:rsidRPr="00620449">
              <w:rPr>
                <w:color w:val="000000" w:themeColor="text1"/>
              </w:rPr>
              <w:t>Reintegration Centre</w:t>
            </w:r>
            <w:r w:rsidR="00044ED5" w:rsidRPr="00620449">
              <w:rPr>
                <w:color w:val="000000" w:themeColor="text1"/>
              </w:rPr>
              <w:t xml:space="preserve"> (contribution to cost)</w:t>
            </w:r>
          </w:p>
        </w:tc>
        <w:tc>
          <w:tcPr>
            <w:tcW w:w="1276" w:type="dxa"/>
          </w:tcPr>
          <w:p w14:paraId="143EAAB0" w14:textId="77777777" w:rsidR="00662B3F" w:rsidRPr="00664D68" w:rsidRDefault="00453974" w:rsidP="00662B3F">
            <w:pPr>
              <w:jc w:val="center"/>
            </w:pPr>
            <w:r w:rsidRPr="00664D68">
              <w:t>ITI/LHA</w:t>
            </w:r>
          </w:p>
        </w:tc>
        <w:tc>
          <w:tcPr>
            <w:tcW w:w="1701" w:type="dxa"/>
          </w:tcPr>
          <w:p w14:paraId="4326E35A" w14:textId="77777777" w:rsidR="00662B3F" w:rsidRPr="00664D68" w:rsidRDefault="00662B3F" w:rsidP="00662B3F">
            <w:r w:rsidRPr="00664D68">
              <w:t>Support the reintegration of students.</w:t>
            </w:r>
          </w:p>
          <w:p w14:paraId="45ECBD20" w14:textId="77777777" w:rsidR="00662B3F" w:rsidRPr="00664D68" w:rsidRDefault="00662B3F" w:rsidP="00662B3F"/>
          <w:p w14:paraId="26204EC4" w14:textId="77777777" w:rsidR="00662B3F" w:rsidRPr="00664D68" w:rsidRDefault="00662B3F" w:rsidP="00662B3F">
            <w:r w:rsidRPr="00664D68">
              <w:t>Reduce PX of PP students to below the national average.</w:t>
            </w:r>
          </w:p>
        </w:tc>
        <w:tc>
          <w:tcPr>
            <w:tcW w:w="9506" w:type="dxa"/>
          </w:tcPr>
          <w:p w14:paraId="407A7C63" w14:textId="30E217A2" w:rsidR="00662B3F" w:rsidRPr="00664D68" w:rsidRDefault="00662B3F" w:rsidP="00662B3F">
            <w:pPr>
              <w:jc w:val="both"/>
            </w:pPr>
            <w:r w:rsidRPr="00664D68">
              <w:t xml:space="preserve">A key priority for the </w:t>
            </w:r>
            <w:r w:rsidR="009562A8" w:rsidRPr="00664D68">
              <w:t>Bolsover School</w:t>
            </w:r>
            <w:r w:rsidRPr="00664D68">
              <w:t xml:space="preserve"> is to reduce the number of students who are excluded from school whilst at the same time, improve the behaviour and engagement within lessons. The Redhill Academy Trust allows all academies within the MAT to utilise the </w:t>
            </w:r>
            <w:r w:rsidR="009562A8" w:rsidRPr="00664D68">
              <w:t xml:space="preserve">Derbyshire </w:t>
            </w:r>
            <w:r w:rsidRPr="00664D68">
              <w:t xml:space="preserve">Reintegration Centre with the purpose being to re-engage students and parents with learning in addition to improving behaviour. The Reintegration Centre is staffed by teachers and teaching assistants; students complete structured work that links with the curriculum being delivered in the main school. </w:t>
            </w:r>
            <w:r w:rsidR="00405923">
              <w:t xml:space="preserve"> </w:t>
            </w:r>
            <w:r w:rsidRPr="00664D68">
              <w:t xml:space="preserve">Upon successful completion of a visit to the Reintegration Centre, students are readmitted back into the </w:t>
            </w:r>
            <w:r w:rsidR="009562A8" w:rsidRPr="00664D68">
              <w:t>school</w:t>
            </w:r>
            <w:r w:rsidRPr="00664D68">
              <w:t xml:space="preserve"> where they receive further support to try to prevent any repeat behaviour. The EEF research shows that behavioural interventions such as this can improve student progress by up to 3 months. </w:t>
            </w:r>
          </w:p>
          <w:p w14:paraId="3602AADF" w14:textId="77777777" w:rsidR="00662B3F" w:rsidRPr="00664D68" w:rsidRDefault="00662B3F" w:rsidP="00662B3F">
            <w:r w:rsidRPr="00664D68">
              <w:rPr>
                <w:noProof/>
                <w:lang w:eastAsia="en-GB"/>
              </w:rPr>
              <w:drawing>
                <wp:inline distT="0" distB="0" distL="0" distR="0" wp14:anchorId="20C0346D" wp14:editId="08A7F4F2">
                  <wp:extent cx="6067425" cy="504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67425" cy="504825"/>
                          </a:xfrm>
                          <a:prstGeom prst="rect">
                            <a:avLst/>
                          </a:prstGeom>
                        </pic:spPr>
                      </pic:pic>
                    </a:graphicData>
                  </a:graphic>
                </wp:inline>
              </w:drawing>
            </w:r>
          </w:p>
          <w:p w14:paraId="1F61FCBD" w14:textId="77777777" w:rsidR="00662B3F" w:rsidRPr="00664D68" w:rsidRDefault="00662B3F" w:rsidP="00662B3F">
            <w:r w:rsidRPr="00664D68">
              <w:rPr>
                <w:noProof/>
                <w:lang w:eastAsia="en-GB"/>
              </w:rPr>
              <w:lastRenderedPageBreak/>
              <w:drawing>
                <wp:inline distT="0" distB="0" distL="0" distR="0" wp14:anchorId="2E6C95FF" wp14:editId="16C32650">
                  <wp:extent cx="5972175" cy="506898"/>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014274" cy="510471"/>
                          </a:xfrm>
                          <a:prstGeom prst="rect">
                            <a:avLst/>
                          </a:prstGeom>
                        </pic:spPr>
                      </pic:pic>
                    </a:graphicData>
                  </a:graphic>
                </wp:inline>
              </w:drawing>
            </w:r>
          </w:p>
        </w:tc>
        <w:tc>
          <w:tcPr>
            <w:tcW w:w="1209" w:type="dxa"/>
          </w:tcPr>
          <w:p w14:paraId="0D299C54" w14:textId="77777777" w:rsidR="00664D68" w:rsidRPr="00664D68" w:rsidRDefault="00664D68" w:rsidP="00662B3F">
            <w:pPr>
              <w:jc w:val="center"/>
              <w:rPr>
                <w:rFonts w:ascii="Calibri" w:hAnsi="Calibri"/>
                <w:color w:val="000000" w:themeColor="text1"/>
                <w:shd w:val="clear" w:color="auto" w:fill="FFFFFF"/>
              </w:rPr>
            </w:pPr>
          </w:p>
          <w:p w14:paraId="105F08CD" w14:textId="77777777" w:rsidR="00662B3F" w:rsidRPr="001F0FFC" w:rsidRDefault="00C66666" w:rsidP="00662B3F">
            <w:pPr>
              <w:jc w:val="center"/>
              <w:rPr>
                <w:color w:val="000000" w:themeColor="text1"/>
              </w:rPr>
            </w:pPr>
            <w:r>
              <w:rPr>
                <w:rFonts w:ascii="Calibri" w:hAnsi="Calibri"/>
                <w:color w:val="000000" w:themeColor="text1"/>
                <w:shd w:val="clear" w:color="auto" w:fill="FFFFFF"/>
              </w:rPr>
              <w:t>£10</w:t>
            </w:r>
            <w:r w:rsidR="009562A8" w:rsidRPr="00664D68">
              <w:rPr>
                <w:rFonts w:ascii="Calibri" w:hAnsi="Calibri"/>
                <w:color w:val="000000" w:themeColor="text1"/>
                <w:shd w:val="clear" w:color="auto" w:fill="FFFFFF"/>
              </w:rPr>
              <w:t>,000</w:t>
            </w:r>
          </w:p>
          <w:p w14:paraId="28E1627C" w14:textId="77777777" w:rsidR="00662B3F" w:rsidRPr="001F0FFC" w:rsidRDefault="00662B3F" w:rsidP="00662B3F">
            <w:pPr>
              <w:rPr>
                <w:color w:val="000000" w:themeColor="text1"/>
              </w:rPr>
            </w:pPr>
          </w:p>
          <w:p w14:paraId="698C09DC" w14:textId="77777777" w:rsidR="00662B3F" w:rsidRPr="001F0FFC" w:rsidRDefault="00662B3F" w:rsidP="00662B3F">
            <w:pPr>
              <w:jc w:val="center"/>
              <w:rPr>
                <w:color w:val="000000" w:themeColor="text1"/>
              </w:rPr>
            </w:pPr>
          </w:p>
        </w:tc>
      </w:tr>
    </w:tbl>
    <w:p w14:paraId="7A6E8AA5" w14:textId="428F2EB2" w:rsidR="00F364A2" w:rsidRDefault="00010184">
      <w:pPr>
        <w:rPr>
          <w:b/>
          <w:sz w:val="24"/>
        </w:rPr>
      </w:pPr>
      <w:r>
        <w:rPr>
          <w:b/>
          <w:sz w:val="24"/>
        </w:rPr>
        <w:lastRenderedPageBreak/>
        <w:t>R</w:t>
      </w:r>
      <w:r w:rsidR="002D0466">
        <w:rPr>
          <w:b/>
          <w:sz w:val="24"/>
        </w:rPr>
        <w:t>eview of expenditure 2018-19</w:t>
      </w:r>
      <w:r w:rsidR="00F364A2" w:rsidRPr="006E79A1">
        <w:rPr>
          <w:b/>
          <w:sz w:val="24"/>
        </w:rPr>
        <w:t>:</w:t>
      </w:r>
    </w:p>
    <w:tbl>
      <w:tblPr>
        <w:tblStyle w:val="TableGrid"/>
        <w:tblW w:w="14884" w:type="dxa"/>
        <w:jc w:val="center"/>
        <w:tblLook w:val="04A0" w:firstRow="1" w:lastRow="0" w:firstColumn="1" w:lastColumn="0" w:noHBand="0" w:noVBand="1"/>
      </w:tblPr>
      <w:tblGrid>
        <w:gridCol w:w="2023"/>
        <w:gridCol w:w="1357"/>
        <w:gridCol w:w="1405"/>
        <w:gridCol w:w="8868"/>
        <w:gridCol w:w="1231"/>
      </w:tblGrid>
      <w:tr w:rsidR="008A1B3C" w:rsidRPr="00740367" w14:paraId="3334F458" w14:textId="77777777" w:rsidTr="00085BC5">
        <w:trPr>
          <w:tblHeader/>
          <w:jc w:val="center"/>
        </w:trPr>
        <w:tc>
          <w:tcPr>
            <w:tcW w:w="2023" w:type="dxa"/>
            <w:shd w:val="clear" w:color="auto" w:fill="D9D9D9" w:themeFill="background1" w:themeFillShade="D9"/>
          </w:tcPr>
          <w:p w14:paraId="7DC9CAC2" w14:textId="77777777" w:rsidR="008A1B3C" w:rsidRDefault="008A1B3C" w:rsidP="00B726BA">
            <w:pPr>
              <w:jc w:val="center"/>
              <w:rPr>
                <w:b/>
              </w:rPr>
            </w:pPr>
            <w:r>
              <w:rPr>
                <w:b/>
              </w:rPr>
              <w:t>2018/19</w:t>
            </w:r>
          </w:p>
          <w:p w14:paraId="41746731" w14:textId="77777777" w:rsidR="008A1B3C" w:rsidRPr="00E10B44" w:rsidRDefault="008A1B3C" w:rsidP="00B726BA">
            <w:pPr>
              <w:jc w:val="center"/>
              <w:rPr>
                <w:b/>
              </w:rPr>
            </w:pPr>
            <w:r>
              <w:rPr>
                <w:b/>
              </w:rPr>
              <w:t>Strategies</w:t>
            </w:r>
          </w:p>
        </w:tc>
        <w:tc>
          <w:tcPr>
            <w:tcW w:w="1357" w:type="dxa"/>
            <w:shd w:val="clear" w:color="auto" w:fill="D9D9D9" w:themeFill="background1" w:themeFillShade="D9"/>
          </w:tcPr>
          <w:p w14:paraId="29A7A03D" w14:textId="77777777" w:rsidR="008A1B3C" w:rsidRDefault="008A1B3C" w:rsidP="00B726BA">
            <w:pPr>
              <w:jc w:val="center"/>
              <w:rPr>
                <w:b/>
              </w:rPr>
            </w:pPr>
            <w:r>
              <w:rPr>
                <w:b/>
              </w:rPr>
              <w:t xml:space="preserve">Cost </w:t>
            </w:r>
          </w:p>
          <w:p w14:paraId="1EBB0B0B" w14:textId="77777777" w:rsidR="008A1B3C" w:rsidRPr="00375D2B" w:rsidRDefault="008A1B3C" w:rsidP="00B726BA">
            <w:pPr>
              <w:jc w:val="center"/>
              <w:rPr>
                <w:b/>
              </w:rPr>
            </w:pPr>
            <w:r>
              <w:rPr>
                <w:b/>
              </w:rPr>
              <w:t>(2018/19)</w:t>
            </w:r>
          </w:p>
        </w:tc>
        <w:tc>
          <w:tcPr>
            <w:tcW w:w="1405" w:type="dxa"/>
            <w:shd w:val="clear" w:color="auto" w:fill="D9D9D9" w:themeFill="background1" w:themeFillShade="D9"/>
          </w:tcPr>
          <w:p w14:paraId="08A37865" w14:textId="77777777" w:rsidR="008A1B3C" w:rsidRPr="00E10B44" w:rsidRDefault="008A1B3C" w:rsidP="00B726BA">
            <w:pPr>
              <w:jc w:val="center"/>
              <w:rPr>
                <w:b/>
              </w:rPr>
            </w:pPr>
            <w:r>
              <w:rPr>
                <w:b/>
              </w:rPr>
              <w:t>Key Stage</w:t>
            </w:r>
          </w:p>
        </w:tc>
        <w:tc>
          <w:tcPr>
            <w:tcW w:w="8868" w:type="dxa"/>
            <w:shd w:val="clear" w:color="auto" w:fill="D9D9D9" w:themeFill="background1" w:themeFillShade="D9"/>
            <w:vAlign w:val="center"/>
          </w:tcPr>
          <w:p w14:paraId="024E748A" w14:textId="34EDD855" w:rsidR="008A1B3C" w:rsidRPr="00DD25ED" w:rsidRDefault="00044ED5" w:rsidP="00B726BA">
            <w:pPr>
              <w:jc w:val="center"/>
              <w:rPr>
                <w:b/>
              </w:rPr>
            </w:pPr>
            <w:r>
              <w:rPr>
                <w:b/>
              </w:rPr>
              <w:t>Impact</w:t>
            </w:r>
          </w:p>
        </w:tc>
        <w:tc>
          <w:tcPr>
            <w:tcW w:w="1231" w:type="dxa"/>
            <w:shd w:val="clear" w:color="auto" w:fill="D9D9D9" w:themeFill="background1" w:themeFillShade="D9"/>
          </w:tcPr>
          <w:p w14:paraId="16D98E4E" w14:textId="77777777" w:rsidR="008A1B3C" w:rsidRPr="00740367" w:rsidRDefault="008A1B3C" w:rsidP="00B726BA">
            <w:pPr>
              <w:jc w:val="center"/>
              <w:rPr>
                <w:b/>
              </w:rPr>
            </w:pPr>
            <w:r>
              <w:rPr>
                <w:b/>
              </w:rPr>
              <w:t>Continue in 2019/20</w:t>
            </w:r>
          </w:p>
        </w:tc>
      </w:tr>
      <w:tr w:rsidR="008A1B3C" w:rsidRPr="00740367" w14:paraId="597CD995" w14:textId="77777777" w:rsidTr="00085BC5">
        <w:trPr>
          <w:jc w:val="center"/>
        </w:trPr>
        <w:tc>
          <w:tcPr>
            <w:tcW w:w="2023" w:type="dxa"/>
          </w:tcPr>
          <w:p w14:paraId="118EB2AE" w14:textId="77777777" w:rsidR="008A1B3C" w:rsidRPr="00CA1CBA" w:rsidRDefault="008A1B3C" w:rsidP="00B726BA">
            <w:pPr>
              <w:jc w:val="center"/>
              <w:rPr>
                <w:color w:val="000000" w:themeColor="text1"/>
              </w:rPr>
            </w:pPr>
            <w:r w:rsidRPr="00CA1CBA">
              <w:rPr>
                <w:color w:val="000000" w:themeColor="text1"/>
              </w:rPr>
              <w:t xml:space="preserve">1:1 </w:t>
            </w:r>
            <w:r>
              <w:rPr>
                <w:color w:val="000000" w:themeColor="text1"/>
              </w:rPr>
              <w:t>/ small group t</w:t>
            </w:r>
            <w:r w:rsidRPr="00CA1CBA">
              <w:rPr>
                <w:color w:val="000000" w:themeColor="text1"/>
              </w:rPr>
              <w:t>uition</w:t>
            </w:r>
          </w:p>
          <w:p w14:paraId="2A698777" w14:textId="7C28A528" w:rsidR="008A1B3C" w:rsidRPr="00CA1CBA" w:rsidRDefault="008A1B3C" w:rsidP="00B726BA">
            <w:pPr>
              <w:jc w:val="center"/>
              <w:rPr>
                <w:color w:val="000000" w:themeColor="text1"/>
              </w:rPr>
            </w:pPr>
            <w:r w:rsidRPr="00CA1CBA">
              <w:rPr>
                <w:color w:val="000000" w:themeColor="text1"/>
              </w:rPr>
              <w:t>English, Maths &amp; Science</w:t>
            </w:r>
            <w:r w:rsidR="003E76A6">
              <w:rPr>
                <w:color w:val="000000" w:themeColor="text1"/>
              </w:rPr>
              <w:t xml:space="preserve"> (Y11)</w:t>
            </w:r>
          </w:p>
        </w:tc>
        <w:tc>
          <w:tcPr>
            <w:tcW w:w="1357" w:type="dxa"/>
          </w:tcPr>
          <w:p w14:paraId="2D7EBA4C" w14:textId="77777777" w:rsidR="008A1B3C" w:rsidRPr="00CA1CBA" w:rsidRDefault="008A1B3C" w:rsidP="00B726BA">
            <w:pPr>
              <w:jc w:val="center"/>
              <w:rPr>
                <w:color w:val="000000" w:themeColor="text1"/>
              </w:rPr>
            </w:pPr>
            <w:r w:rsidRPr="00CA1CBA">
              <w:rPr>
                <w:rFonts w:ascii="Calibri" w:hAnsi="Calibri"/>
                <w:color w:val="000000" w:themeColor="text1"/>
                <w:shd w:val="clear" w:color="auto" w:fill="FFFFFF"/>
              </w:rPr>
              <w:t>£</w:t>
            </w:r>
            <w:r w:rsidR="009C26AA">
              <w:rPr>
                <w:rFonts w:ascii="Calibri" w:hAnsi="Calibri"/>
                <w:color w:val="000000" w:themeColor="text1"/>
                <w:shd w:val="clear" w:color="auto" w:fill="FFFFFF"/>
              </w:rPr>
              <w:t>20,000</w:t>
            </w:r>
          </w:p>
          <w:p w14:paraId="71BDB5D2" w14:textId="77777777" w:rsidR="008A1B3C" w:rsidRDefault="008A1B3C" w:rsidP="00B726BA">
            <w:pPr>
              <w:jc w:val="center"/>
              <w:rPr>
                <w:color w:val="000000" w:themeColor="text1"/>
              </w:rPr>
            </w:pPr>
          </w:p>
          <w:p w14:paraId="15F52CAE" w14:textId="77777777" w:rsidR="008A1B3C" w:rsidRPr="00CA1CBA" w:rsidRDefault="008A1B3C" w:rsidP="00B726BA">
            <w:pPr>
              <w:jc w:val="center"/>
              <w:rPr>
                <w:color w:val="000000" w:themeColor="text1"/>
              </w:rPr>
            </w:pPr>
          </w:p>
          <w:p w14:paraId="79BFDE8F" w14:textId="77777777" w:rsidR="008A1B3C" w:rsidRPr="00CA1CBA" w:rsidRDefault="008A1B3C" w:rsidP="00B726BA">
            <w:pPr>
              <w:jc w:val="center"/>
              <w:rPr>
                <w:color w:val="000000" w:themeColor="text1"/>
              </w:rPr>
            </w:pPr>
          </w:p>
        </w:tc>
        <w:tc>
          <w:tcPr>
            <w:tcW w:w="1405" w:type="dxa"/>
          </w:tcPr>
          <w:p w14:paraId="50C9FB80" w14:textId="1F9C6C07" w:rsidR="008A1B3C" w:rsidRPr="00CA1CBA" w:rsidRDefault="003E76A6" w:rsidP="00B726BA">
            <w:pPr>
              <w:jc w:val="center"/>
              <w:rPr>
                <w:color w:val="000000" w:themeColor="text1"/>
              </w:rPr>
            </w:pPr>
            <w:r>
              <w:rPr>
                <w:color w:val="000000" w:themeColor="text1"/>
              </w:rPr>
              <w:t>4</w:t>
            </w:r>
          </w:p>
        </w:tc>
        <w:tc>
          <w:tcPr>
            <w:tcW w:w="8868" w:type="dxa"/>
          </w:tcPr>
          <w:p w14:paraId="29E19E8D" w14:textId="6B2A6925" w:rsidR="003E76A6" w:rsidRPr="00620449" w:rsidRDefault="001E4653" w:rsidP="003E76A6">
            <w:pPr>
              <w:jc w:val="both"/>
            </w:pPr>
            <w:r w:rsidRPr="00620449">
              <w:t>Subject Progress Index results for these subjects are shown below:</w:t>
            </w:r>
          </w:p>
          <w:p w14:paraId="5510B271" w14:textId="77777777" w:rsidR="001E4653" w:rsidRPr="00620449" w:rsidRDefault="001E4653" w:rsidP="003E76A6">
            <w:pPr>
              <w:jc w:val="both"/>
            </w:pPr>
          </w:p>
          <w:tbl>
            <w:tblPr>
              <w:tblStyle w:val="TableGrid"/>
              <w:tblW w:w="0" w:type="auto"/>
              <w:tblLook w:val="04A0" w:firstRow="1" w:lastRow="0" w:firstColumn="1" w:lastColumn="0" w:noHBand="0" w:noVBand="1"/>
            </w:tblPr>
            <w:tblGrid>
              <w:gridCol w:w="1932"/>
              <w:gridCol w:w="955"/>
              <w:gridCol w:w="1134"/>
              <w:gridCol w:w="1134"/>
              <w:gridCol w:w="1842"/>
            </w:tblGrid>
            <w:tr w:rsidR="008823FC" w:rsidRPr="00620449" w14:paraId="2B7047C2" w14:textId="1F0F66B9" w:rsidTr="008823FC">
              <w:tc>
                <w:tcPr>
                  <w:tcW w:w="1932" w:type="dxa"/>
                </w:tcPr>
                <w:p w14:paraId="62384733" w14:textId="0156136E" w:rsidR="008823FC" w:rsidRPr="00620449" w:rsidRDefault="008823FC" w:rsidP="003E76A6">
                  <w:pPr>
                    <w:jc w:val="both"/>
                    <w:rPr>
                      <w:b/>
                    </w:rPr>
                  </w:pPr>
                  <w:r w:rsidRPr="00620449">
                    <w:rPr>
                      <w:b/>
                    </w:rPr>
                    <w:t>Subject Progress Index</w:t>
                  </w:r>
                </w:p>
              </w:tc>
              <w:tc>
                <w:tcPr>
                  <w:tcW w:w="955" w:type="dxa"/>
                </w:tcPr>
                <w:p w14:paraId="241068D7" w14:textId="50C0BAEE" w:rsidR="008823FC" w:rsidRPr="00620449" w:rsidRDefault="008823FC" w:rsidP="003E76A6">
                  <w:pPr>
                    <w:jc w:val="both"/>
                    <w:rPr>
                      <w:b/>
                    </w:rPr>
                  </w:pPr>
                </w:p>
              </w:tc>
              <w:tc>
                <w:tcPr>
                  <w:tcW w:w="1134" w:type="dxa"/>
                </w:tcPr>
                <w:p w14:paraId="63895C7B" w14:textId="0FF91E1D" w:rsidR="008823FC" w:rsidRPr="00620449" w:rsidRDefault="008823FC" w:rsidP="003E76A6">
                  <w:pPr>
                    <w:jc w:val="both"/>
                    <w:rPr>
                      <w:b/>
                    </w:rPr>
                  </w:pPr>
                  <w:r w:rsidRPr="00620449">
                    <w:rPr>
                      <w:b/>
                    </w:rPr>
                    <w:t>2017-18</w:t>
                  </w:r>
                </w:p>
              </w:tc>
              <w:tc>
                <w:tcPr>
                  <w:tcW w:w="1134" w:type="dxa"/>
                </w:tcPr>
                <w:p w14:paraId="2492B681" w14:textId="18FE016C" w:rsidR="008823FC" w:rsidRPr="00620449" w:rsidRDefault="008823FC" w:rsidP="003E76A6">
                  <w:pPr>
                    <w:jc w:val="both"/>
                    <w:rPr>
                      <w:b/>
                    </w:rPr>
                  </w:pPr>
                  <w:r w:rsidRPr="00620449">
                    <w:rPr>
                      <w:b/>
                    </w:rPr>
                    <w:t>2018-19</w:t>
                  </w:r>
                </w:p>
              </w:tc>
              <w:tc>
                <w:tcPr>
                  <w:tcW w:w="1842" w:type="dxa"/>
                </w:tcPr>
                <w:p w14:paraId="2CE48A6B" w14:textId="1B5B750B" w:rsidR="008823FC" w:rsidRPr="00620449" w:rsidRDefault="008823FC" w:rsidP="008823FC">
                  <w:pPr>
                    <w:jc w:val="center"/>
                    <w:rPr>
                      <w:b/>
                    </w:rPr>
                  </w:pPr>
                  <w:r w:rsidRPr="00620449">
                    <w:rPr>
                      <w:b/>
                    </w:rPr>
                    <w:t>Amount Gap has Narrowed</w:t>
                  </w:r>
                </w:p>
              </w:tc>
            </w:tr>
            <w:tr w:rsidR="008823FC" w:rsidRPr="00620449" w14:paraId="60E7D34C" w14:textId="569F0216" w:rsidTr="008823FC">
              <w:tc>
                <w:tcPr>
                  <w:tcW w:w="1932" w:type="dxa"/>
                  <w:vMerge w:val="restart"/>
                </w:tcPr>
                <w:p w14:paraId="0D7DAF9A" w14:textId="522F245C" w:rsidR="008823FC" w:rsidRPr="00620449" w:rsidRDefault="008823FC" w:rsidP="003E76A6">
                  <w:pPr>
                    <w:jc w:val="both"/>
                    <w:rPr>
                      <w:b/>
                    </w:rPr>
                  </w:pPr>
                  <w:r w:rsidRPr="00620449">
                    <w:rPr>
                      <w:b/>
                    </w:rPr>
                    <w:t>English</w:t>
                  </w:r>
                </w:p>
              </w:tc>
              <w:tc>
                <w:tcPr>
                  <w:tcW w:w="955" w:type="dxa"/>
                </w:tcPr>
                <w:p w14:paraId="29C65D6B" w14:textId="6D22DBCA" w:rsidR="008823FC" w:rsidRPr="00620449" w:rsidRDefault="008823FC" w:rsidP="003E76A6">
                  <w:pPr>
                    <w:jc w:val="both"/>
                    <w:rPr>
                      <w:b/>
                    </w:rPr>
                  </w:pPr>
                  <w:r w:rsidRPr="00620449">
                    <w:rPr>
                      <w:b/>
                    </w:rPr>
                    <w:t xml:space="preserve">All          </w:t>
                  </w:r>
                </w:p>
              </w:tc>
              <w:tc>
                <w:tcPr>
                  <w:tcW w:w="1134" w:type="dxa"/>
                </w:tcPr>
                <w:p w14:paraId="5109C6C9" w14:textId="204EB890" w:rsidR="008823FC" w:rsidRPr="00620449" w:rsidRDefault="008823FC" w:rsidP="008823FC">
                  <w:pPr>
                    <w:jc w:val="center"/>
                  </w:pPr>
                  <w:r w:rsidRPr="00620449">
                    <w:t>-0.15</w:t>
                  </w:r>
                </w:p>
              </w:tc>
              <w:tc>
                <w:tcPr>
                  <w:tcW w:w="1134" w:type="dxa"/>
                </w:tcPr>
                <w:p w14:paraId="39FAADBC" w14:textId="2F67B3DF" w:rsidR="008823FC" w:rsidRPr="00620449" w:rsidRDefault="008823FC" w:rsidP="008823FC">
                  <w:pPr>
                    <w:jc w:val="center"/>
                  </w:pPr>
                  <w:r w:rsidRPr="00620449">
                    <w:t>-0.39</w:t>
                  </w:r>
                </w:p>
              </w:tc>
              <w:tc>
                <w:tcPr>
                  <w:tcW w:w="1842" w:type="dxa"/>
                </w:tcPr>
                <w:p w14:paraId="2D1FF051" w14:textId="77777777" w:rsidR="008823FC" w:rsidRPr="00620449" w:rsidRDefault="008823FC" w:rsidP="008823FC">
                  <w:pPr>
                    <w:jc w:val="center"/>
                  </w:pPr>
                </w:p>
              </w:tc>
            </w:tr>
            <w:tr w:rsidR="008823FC" w:rsidRPr="00620449" w14:paraId="49753994" w14:textId="3D532399" w:rsidTr="008823FC">
              <w:tc>
                <w:tcPr>
                  <w:tcW w:w="1932" w:type="dxa"/>
                  <w:vMerge/>
                </w:tcPr>
                <w:p w14:paraId="1774696F" w14:textId="77777777" w:rsidR="008823FC" w:rsidRPr="00620449" w:rsidRDefault="008823FC" w:rsidP="003E76A6">
                  <w:pPr>
                    <w:jc w:val="both"/>
                  </w:pPr>
                </w:p>
              </w:tc>
              <w:tc>
                <w:tcPr>
                  <w:tcW w:w="955" w:type="dxa"/>
                </w:tcPr>
                <w:p w14:paraId="67FD74CE" w14:textId="7FA7ED6B" w:rsidR="008823FC" w:rsidRPr="00620449" w:rsidRDefault="008823FC" w:rsidP="003E76A6">
                  <w:pPr>
                    <w:jc w:val="both"/>
                  </w:pPr>
                  <w:r w:rsidRPr="00620449">
                    <w:rPr>
                      <w:b/>
                    </w:rPr>
                    <w:t xml:space="preserve">NPP        </w:t>
                  </w:r>
                </w:p>
              </w:tc>
              <w:tc>
                <w:tcPr>
                  <w:tcW w:w="1134" w:type="dxa"/>
                </w:tcPr>
                <w:p w14:paraId="6F0699FA" w14:textId="7D9E2A9E" w:rsidR="008823FC" w:rsidRPr="00620449" w:rsidRDefault="008823FC" w:rsidP="008823FC">
                  <w:pPr>
                    <w:jc w:val="center"/>
                  </w:pPr>
                  <w:r w:rsidRPr="00620449">
                    <w:t>0.01</w:t>
                  </w:r>
                </w:p>
              </w:tc>
              <w:tc>
                <w:tcPr>
                  <w:tcW w:w="1134" w:type="dxa"/>
                </w:tcPr>
                <w:p w14:paraId="0176E67F" w14:textId="4BC94B92" w:rsidR="008823FC" w:rsidRPr="00620449" w:rsidRDefault="008823FC" w:rsidP="008823FC">
                  <w:pPr>
                    <w:jc w:val="center"/>
                  </w:pPr>
                  <w:r w:rsidRPr="00620449">
                    <w:t>-0.35</w:t>
                  </w:r>
                </w:p>
              </w:tc>
              <w:tc>
                <w:tcPr>
                  <w:tcW w:w="1842" w:type="dxa"/>
                </w:tcPr>
                <w:p w14:paraId="39898C0F" w14:textId="77777777" w:rsidR="008823FC" w:rsidRPr="00620449" w:rsidRDefault="008823FC" w:rsidP="008823FC">
                  <w:pPr>
                    <w:jc w:val="center"/>
                  </w:pPr>
                </w:p>
              </w:tc>
            </w:tr>
            <w:tr w:rsidR="008823FC" w:rsidRPr="00620449" w14:paraId="6CE75D08" w14:textId="6CCEEF5E" w:rsidTr="008823FC">
              <w:tc>
                <w:tcPr>
                  <w:tcW w:w="1932" w:type="dxa"/>
                  <w:vMerge/>
                </w:tcPr>
                <w:p w14:paraId="37EECF3E" w14:textId="77777777" w:rsidR="008823FC" w:rsidRPr="00620449" w:rsidRDefault="008823FC" w:rsidP="003E76A6">
                  <w:pPr>
                    <w:jc w:val="both"/>
                  </w:pPr>
                </w:p>
              </w:tc>
              <w:tc>
                <w:tcPr>
                  <w:tcW w:w="955" w:type="dxa"/>
                </w:tcPr>
                <w:p w14:paraId="5F9153D7" w14:textId="615983DA" w:rsidR="008823FC" w:rsidRPr="00620449" w:rsidRDefault="008823FC" w:rsidP="003E76A6">
                  <w:pPr>
                    <w:jc w:val="both"/>
                  </w:pPr>
                  <w:r w:rsidRPr="00620449">
                    <w:rPr>
                      <w:b/>
                    </w:rPr>
                    <w:t xml:space="preserve">PP          </w:t>
                  </w:r>
                </w:p>
              </w:tc>
              <w:tc>
                <w:tcPr>
                  <w:tcW w:w="1134" w:type="dxa"/>
                </w:tcPr>
                <w:p w14:paraId="28AF3C47" w14:textId="34C1EE33" w:rsidR="008823FC" w:rsidRPr="00620449" w:rsidRDefault="008823FC" w:rsidP="008823FC">
                  <w:pPr>
                    <w:jc w:val="center"/>
                  </w:pPr>
                  <w:r w:rsidRPr="00620449">
                    <w:t>-0.47</w:t>
                  </w:r>
                </w:p>
              </w:tc>
              <w:tc>
                <w:tcPr>
                  <w:tcW w:w="1134" w:type="dxa"/>
                </w:tcPr>
                <w:p w14:paraId="654A4289" w14:textId="27AEF04E" w:rsidR="008823FC" w:rsidRPr="00620449" w:rsidRDefault="008823FC" w:rsidP="008823FC">
                  <w:pPr>
                    <w:jc w:val="center"/>
                  </w:pPr>
                  <w:r w:rsidRPr="00620449">
                    <w:t>-0.48</w:t>
                  </w:r>
                </w:p>
              </w:tc>
              <w:tc>
                <w:tcPr>
                  <w:tcW w:w="1842" w:type="dxa"/>
                </w:tcPr>
                <w:p w14:paraId="59C1D3C5" w14:textId="77777777" w:rsidR="008823FC" w:rsidRPr="00620449" w:rsidRDefault="008823FC" w:rsidP="008823FC">
                  <w:pPr>
                    <w:jc w:val="center"/>
                  </w:pPr>
                </w:p>
              </w:tc>
            </w:tr>
            <w:tr w:rsidR="008823FC" w:rsidRPr="00620449" w14:paraId="26D52CA4" w14:textId="7BE618AF" w:rsidTr="008823FC">
              <w:tc>
                <w:tcPr>
                  <w:tcW w:w="1932" w:type="dxa"/>
                  <w:vMerge/>
                </w:tcPr>
                <w:p w14:paraId="5E0F40C9" w14:textId="77777777" w:rsidR="008823FC" w:rsidRPr="00620449" w:rsidRDefault="008823FC" w:rsidP="003E76A6">
                  <w:pPr>
                    <w:jc w:val="both"/>
                  </w:pPr>
                </w:p>
              </w:tc>
              <w:tc>
                <w:tcPr>
                  <w:tcW w:w="955" w:type="dxa"/>
                  <w:shd w:val="clear" w:color="auto" w:fill="E7E6E6" w:themeFill="background2"/>
                </w:tcPr>
                <w:p w14:paraId="0A35564F" w14:textId="3A296E0F" w:rsidR="008823FC" w:rsidRPr="00620449" w:rsidRDefault="008823FC" w:rsidP="003E76A6">
                  <w:pPr>
                    <w:jc w:val="both"/>
                  </w:pPr>
                  <w:r w:rsidRPr="00620449">
                    <w:rPr>
                      <w:b/>
                    </w:rPr>
                    <w:t>Gap</w:t>
                  </w:r>
                  <w:r w:rsidRPr="00620449">
                    <w:t xml:space="preserve">        </w:t>
                  </w:r>
                </w:p>
              </w:tc>
              <w:tc>
                <w:tcPr>
                  <w:tcW w:w="1134" w:type="dxa"/>
                  <w:shd w:val="clear" w:color="auto" w:fill="E7E6E6" w:themeFill="background2"/>
                </w:tcPr>
                <w:p w14:paraId="0251B238" w14:textId="2290E588" w:rsidR="008823FC" w:rsidRPr="00620449" w:rsidRDefault="008823FC" w:rsidP="008823FC">
                  <w:pPr>
                    <w:jc w:val="center"/>
                  </w:pPr>
                  <w:r w:rsidRPr="00620449">
                    <w:t>0.48</w:t>
                  </w:r>
                </w:p>
              </w:tc>
              <w:tc>
                <w:tcPr>
                  <w:tcW w:w="1134" w:type="dxa"/>
                  <w:shd w:val="clear" w:color="auto" w:fill="E7E6E6" w:themeFill="background2"/>
                </w:tcPr>
                <w:p w14:paraId="3B3CCEC5" w14:textId="6E778D7B" w:rsidR="008823FC" w:rsidRPr="00620449" w:rsidRDefault="008823FC" w:rsidP="008823FC">
                  <w:pPr>
                    <w:jc w:val="center"/>
                  </w:pPr>
                  <w:r w:rsidRPr="00620449">
                    <w:t>0.13</w:t>
                  </w:r>
                </w:p>
              </w:tc>
              <w:tc>
                <w:tcPr>
                  <w:tcW w:w="1842" w:type="dxa"/>
                  <w:shd w:val="clear" w:color="auto" w:fill="E7E6E6" w:themeFill="background2"/>
                </w:tcPr>
                <w:p w14:paraId="454DF5E6" w14:textId="4CFE68C1" w:rsidR="008823FC" w:rsidRPr="00620449" w:rsidRDefault="008823FC" w:rsidP="008823FC">
                  <w:pPr>
                    <w:jc w:val="center"/>
                  </w:pPr>
                  <w:r w:rsidRPr="00620449">
                    <w:t>0.35</w:t>
                  </w:r>
                </w:p>
              </w:tc>
            </w:tr>
            <w:tr w:rsidR="008823FC" w:rsidRPr="00620449" w14:paraId="2F03A2F9" w14:textId="5ADF4A00" w:rsidTr="008823FC">
              <w:tc>
                <w:tcPr>
                  <w:tcW w:w="1932" w:type="dxa"/>
                  <w:vMerge w:val="restart"/>
                </w:tcPr>
                <w:p w14:paraId="38A1E7D2" w14:textId="416FACAF" w:rsidR="008823FC" w:rsidRPr="00620449" w:rsidRDefault="008823FC" w:rsidP="003E76A6">
                  <w:pPr>
                    <w:jc w:val="both"/>
                    <w:rPr>
                      <w:b/>
                    </w:rPr>
                  </w:pPr>
                  <w:r w:rsidRPr="00620449">
                    <w:rPr>
                      <w:b/>
                    </w:rPr>
                    <w:t>Maths</w:t>
                  </w:r>
                </w:p>
              </w:tc>
              <w:tc>
                <w:tcPr>
                  <w:tcW w:w="955" w:type="dxa"/>
                </w:tcPr>
                <w:p w14:paraId="36473BA1" w14:textId="20C0B8A8" w:rsidR="008823FC" w:rsidRPr="00620449" w:rsidRDefault="008823FC" w:rsidP="003E76A6">
                  <w:pPr>
                    <w:jc w:val="both"/>
                  </w:pPr>
                  <w:r w:rsidRPr="00620449">
                    <w:rPr>
                      <w:b/>
                    </w:rPr>
                    <w:t xml:space="preserve">All          </w:t>
                  </w:r>
                </w:p>
              </w:tc>
              <w:tc>
                <w:tcPr>
                  <w:tcW w:w="1134" w:type="dxa"/>
                </w:tcPr>
                <w:p w14:paraId="04D11B54" w14:textId="4431DBB6" w:rsidR="008823FC" w:rsidRPr="00620449" w:rsidRDefault="008823FC" w:rsidP="008823FC">
                  <w:pPr>
                    <w:jc w:val="center"/>
                  </w:pPr>
                  <w:r w:rsidRPr="00620449">
                    <w:t>-0.17</w:t>
                  </w:r>
                </w:p>
              </w:tc>
              <w:tc>
                <w:tcPr>
                  <w:tcW w:w="1134" w:type="dxa"/>
                </w:tcPr>
                <w:p w14:paraId="65C76F3F" w14:textId="42923877" w:rsidR="008823FC" w:rsidRPr="00620449" w:rsidRDefault="008823FC" w:rsidP="008823FC">
                  <w:pPr>
                    <w:jc w:val="center"/>
                  </w:pPr>
                  <w:r w:rsidRPr="00620449">
                    <w:t>0.08</w:t>
                  </w:r>
                </w:p>
              </w:tc>
              <w:tc>
                <w:tcPr>
                  <w:tcW w:w="1842" w:type="dxa"/>
                </w:tcPr>
                <w:p w14:paraId="4326CCD9" w14:textId="77777777" w:rsidR="008823FC" w:rsidRPr="00620449" w:rsidRDefault="008823FC" w:rsidP="008823FC">
                  <w:pPr>
                    <w:jc w:val="center"/>
                  </w:pPr>
                </w:p>
              </w:tc>
            </w:tr>
            <w:tr w:rsidR="008823FC" w:rsidRPr="00620449" w14:paraId="52A0F618" w14:textId="428D7B6C" w:rsidTr="008823FC">
              <w:tc>
                <w:tcPr>
                  <w:tcW w:w="1932" w:type="dxa"/>
                  <w:vMerge/>
                </w:tcPr>
                <w:p w14:paraId="042AD878" w14:textId="77777777" w:rsidR="008823FC" w:rsidRPr="00620449" w:rsidRDefault="008823FC" w:rsidP="003E76A6">
                  <w:pPr>
                    <w:jc w:val="both"/>
                    <w:rPr>
                      <w:b/>
                    </w:rPr>
                  </w:pPr>
                </w:p>
              </w:tc>
              <w:tc>
                <w:tcPr>
                  <w:tcW w:w="955" w:type="dxa"/>
                </w:tcPr>
                <w:p w14:paraId="7ABF17EE" w14:textId="58866ABE" w:rsidR="008823FC" w:rsidRPr="00620449" w:rsidRDefault="008823FC" w:rsidP="003E76A6">
                  <w:pPr>
                    <w:jc w:val="both"/>
                    <w:rPr>
                      <w:b/>
                    </w:rPr>
                  </w:pPr>
                  <w:r w:rsidRPr="00620449">
                    <w:rPr>
                      <w:b/>
                    </w:rPr>
                    <w:t xml:space="preserve">NPP        </w:t>
                  </w:r>
                </w:p>
              </w:tc>
              <w:tc>
                <w:tcPr>
                  <w:tcW w:w="1134" w:type="dxa"/>
                </w:tcPr>
                <w:p w14:paraId="01DFBF40" w14:textId="2F0A76B4" w:rsidR="008823FC" w:rsidRPr="00620449" w:rsidRDefault="008823FC" w:rsidP="008823FC">
                  <w:pPr>
                    <w:jc w:val="center"/>
                  </w:pPr>
                  <w:r w:rsidRPr="00620449">
                    <w:t>0.09</w:t>
                  </w:r>
                </w:p>
              </w:tc>
              <w:tc>
                <w:tcPr>
                  <w:tcW w:w="1134" w:type="dxa"/>
                </w:tcPr>
                <w:p w14:paraId="10060957" w14:textId="5B3A0C62" w:rsidR="008823FC" w:rsidRPr="00620449" w:rsidRDefault="008823FC" w:rsidP="008823FC">
                  <w:pPr>
                    <w:jc w:val="center"/>
                  </w:pPr>
                  <w:r w:rsidRPr="00620449">
                    <w:t>0.15</w:t>
                  </w:r>
                </w:p>
              </w:tc>
              <w:tc>
                <w:tcPr>
                  <w:tcW w:w="1842" w:type="dxa"/>
                </w:tcPr>
                <w:p w14:paraId="48C4A8DD" w14:textId="77777777" w:rsidR="008823FC" w:rsidRPr="00620449" w:rsidRDefault="008823FC" w:rsidP="008823FC">
                  <w:pPr>
                    <w:jc w:val="center"/>
                  </w:pPr>
                </w:p>
              </w:tc>
            </w:tr>
            <w:tr w:rsidR="008823FC" w:rsidRPr="00620449" w14:paraId="267838A8" w14:textId="3B8EFCD4" w:rsidTr="008823FC">
              <w:tc>
                <w:tcPr>
                  <w:tcW w:w="1932" w:type="dxa"/>
                  <w:vMerge/>
                </w:tcPr>
                <w:p w14:paraId="357A29E4" w14:textId="77777777" w:rsidR="008823FC" w:rsidRPr="00620449" w:rsidRDefault="008823FC" w:rsidP="003E76A6">
                  <w:pPr>
                    <w:jc w:val="both"/>
                    <w:rPr>
                      <w:b/>
                    </w:rPr>
                  </w:pPr>
                </w:p>
              </w:tc>
              <w:tc>
                <w:tcPr>
                  <w:tcW w:w="955" w:type="dxa"/>
                </w:tcPr>
                <w:p w14:paraId="2AA5ECBE" w14:textId="07526E89" w:rsidR="008823FC" w:rsidRPr="00620449" w:rsidRDefault="008823FC" w:rsidP="003E76A6">
                  <w:pPr>
                    <w:jc w:val="both"/>
                    <w:rPr>
                      <w:b/>
                    </w:rPr>
                  </w:pPr>
                  <w:r w:rsidRPr="00620449">
                    <w:rPr>
                      <w:b/>
                    </w:rPr>
                    <w:t xml:space="preserve">PP           </w:t>
                  </w:r>
                </w:p>
              </w:tc>
              <w:tc>
                <w:tcPr>
                  <w:tcW w:w="1134" w:type="dxa"/>
                </w:tcPr>
                <w:p w14:paraId="6D2F503F" w14:textId="6BCF9031" w:rsidR="008823FC" w:rsidRPr="00620449" w:rsidRDefault="008823FC" w:rsidP="008823FC">
                  <w:pPr>
                    <w:jc w:val="center"/>
                  </w:pPr>
                  <w:r w:rsidRPr="00620449">
                    <w:t>-0.67</w:t>
                  </w:r>
                </w:p>
              </w:tc>
              <w:tc>
                <w:tcPr>
                  <w:tcW w:w="1134" w:type="dxa"/>
                </w:tcPr>
                <w:p w14:paraId="3A77F17E" w14:textId="4AE903C6" w:rsidR="008823FC" w:rsidRPr="00620449" w:rsidRDefault="008823FC" w:rsidP="008823FC">
                  <w:pPr>
                    <w:jc w:val="center"/>
                  </w:pPr>
                  <w:r w:rsidRPr="00620449">
                    <w:t>-0.08</w:t>
                  </w:r>
                </w:p>
              </w:tc>
              <w:tc>
                <w:tcPr>
                  <w:tcW w:w="1842" w:type="dxa"/>
                </w:tcPr>
                <w:p w14:paraId="778622FC" w14:textId="77777777" w:rsidR="008823FC" w:rsidRPr="00620449" w:rsidRDefault="008823FC" w:rsidP="008823FC">
                  <w:pPr>
                    <w:jc w:val="center"/>
                  </w:pPr>
                </w:p>
              </w:tc>
            </w:tr>
            <w:tr w:rsidR="008823FC" w:rsidRPr="00620449" w14:paraId="755A94B7" w14:textId="6FF912CF" w:rsidTr="008823FC">
              <w:tc>
                <w:tcPr>
                  <w:tcW w:w="1932" w:type="dxa"/>
                  <w:vMerge/>
                </w:tcPr>
                <w:p w14:paraId="0684987E" w14:textId="77777777" w:rsidR="008823FC" w:rsidRPr="00620449" w:rsidRDefault="008823FC" w:rsidP="003E76A6">
                  <w:pPr>
                    <w:jc w:val="both"/>
                    <w:rPr>
                      <w:b/>
                    </w:rPr>
                  </w:pPr>
                </w:p>
              </w:tc>
              <w:tc>
                <w:tcPr>
                  <w:tcW w:w="955" w:type="dxa"/>
                  <w:shd w:val="clear" w:color="auto" w:fill="E7E6E6" w:themeFill="background2"/>
                </w:tcPr>
                <w:p w14:paraId="27DACA1B" w14:textId="5625B909" w:rsidR="008823FC" w:rsidRPr="00620449" w:rsidRDefault="008823FC" w:rsidP="003E76A6">
                  <w:pPr>
                    <w:jc w:val="both"/>
                  </w:pPr>
                  <w:r w:rsidRPr="00620449">
                    <w:rPr>
                      <w:b/>
                    </w:rPr>
                    <w:t xml:space="preserve">Gap       </w:t>
                  </w:r>
                </w:p>
              </w:tc>
              <w:tc>
                <w:tcPr>
                  <w:tcW w:w="1134" w:type="dxa"/>
                  <w:shd w:val="clear" w:color="auto" w:fill="E7E6E6" w:themeFill="background2"/>
                </w:tcPr>
                <w:p w14:paraId="1F2D615D" w14:textId="040E416C" w:rsidR="008823FC" w:rsidRPr="00620449" w:rsidRDefault="008823FC" w:rsidP="008823FC">
                  <w:pPr>
                    <w:jc w:val="center"/>
                  </w:pPr>
                  <w:r w:rsidRPr="00620449">
                    <w:t>0.76</w:t>
                  </w:r>
                </w:p>
              </w:tc>
              <w:tc>
                <w:tcPr>
                  <w:tcW w:w="1134" w:type="dxa"/>
                  <w:shd w:val="clear" w:color="auto" w:fill="E7E6E6" w:themeFill="background2"/>
                </w:tcPr>
                <w:p w14:paraId="0F88275B" w14:textId="1F0AB0AD" w:rsidR="008823FC" w:rsidRPr="00620449" w:rsidRDefault="008823FC" w:rsidP="008823FC">
                  <w:pPr>
                    <w:jc w:val="center"/>
                  </w:pPr>
                  <w:r w:rsidRPr="00620449">
                    <w:t>0.23</w:t>
                  </w:r>
                </w:p>
              </w:tc>
              <w:tc>
                <w:tcPr>
                  <w:tcW w:w="1842" w:type="dxa"/>
                  <w:shd w:val="clear" w:color="auto" w:fill="E7E6E6" w:themeFill="background2"/>
                </w:tcPr>
                <w:p w14:paraId="41537361" w14:textId="1A00340F" w:rsidR="008823FC" w:rsidRPr="00620449" w:rsidRDefault="008823FC" w:rsidP="008823FC">
                  <w:pPr>
                    <w:jc w:val="center"/>
                  </w:pPr>
                  <w:r w:rsidRPr="00620449">
                    <w:t>0.53</w:t>
                  </w:r>
                </w:p>
              </w:tc>
            </w:tr>
            <w:tr w:rsidR="008823FC" w:rsidRPr="00620449" w14:paraId="4AF8CD61" w14:textId="397E2489" w:rsidTr="008823FC">
              <w:tc>
                <w:tcPr>
                  <w:tcW w:w="1932" w:type="dxa"/>
                  <w:vMerge w:val="restart"/>
                </w:tcPr>
                <w:p w14:paraId="398FF131" w14:textId="7DB451A3" w:rsidR="008823FC" w:rsidRPr="00620449" w:rsidRDefault="008823FC" w:rsidP="003E76A6">
                  <w:pPr>
                    <w:jc w:val="both"/>
                    <w:rPr>
                      <w:b/>
                    </w:rPr>
                  </w:pPr>
                  <w:r w:rsidRPr="00620449">
                    <w:rPr>
                      <w:b/>
                    </w:rPr>
                    <w:t>Combined Science</w:t>
                  </w:r>
                </w:p>
              </w:tc>
              <w:tc>
                <w:tcPr>
                  <w:tcW w:w="955" w:type="dxa"/>
                </w:tcPr>
                <w:p w14:paraId="6224AA42" w14:textId="46141236" w:rsidR="008823FC" w:rsidRPr="00620449" w:rsidRDefault="008823FC" w:rsidP="003E76A6">
                  <w:pPr>
                    <w:jc w:val="both"/>
                    <w:rPr>
                      <w:b/>
                    </w:rPr>
                  </w:pPr>
                  <w:r w:rsidRPr="00620449">
                    <w:rPr>
                      <w:b/>
                    </w:rPr>
                    <w:t xml:space="preserve">All         </w:t>
                  </w:r>
                </w:p>
              </w:tc>
              <w:tc>
                <w:tcPr>
                  <w:tcW w:w="1134" w:type="dxa"/>
                </w:tcPr>
                <w:p w14:paraId="446A8289" w14:textId="038397E5" w:rsidR="008823FC" w:rsidRPr="00620449" w:rsidRDefault="008823FC" w:rsidP="008823FC">
                  <w:pPr>
                    <w:jc w:val="center"/>
                  </w:pPr>
                  <w:r w:rsidRPr="00620449">
                    <w:t>-0.83</w:t>
                  </w:r>
                </w:p>
              </w:tc>
              <w:tc>
                <w:tcPr>
                  <w:tcW w:w="1134" w:type="dxa"/>
                </w:tcPr>
                <w:p w14:paraId="33A48E6D" w14:textId="60179896" w:rsidR="008823FC" w:rsidRPr="00620449" w:rsidRDefault="008823FC" w:rsidP="008823FC">
                  <w:pPr>
                    <w:jc w:val="center"/>
                  </w:pPr>
                  <w:r w:rsidRPr="00620449">
                    <w:t>-0.24</w:t>
                  </w:r>
                </w:p>
              </w:tc>
              <w:tc>
                <w:tcPr>
                  <w:tcW w:w="1842" w:type="dxa"/>
                </w:tcPr>
                <w:p w14:paraId="374C5C82" w14:textId="77777777" w:rsidR="008823FC" w:rsidRPr="00620449" w:rsidRDefault="008823FC" w:rsidP="008823FC">
                  <w:pPr>
                    <w:jc w:val="center"/>
                  </w:pPr>
                </w:p>
              </w:tc>
            </w:tr>
            <w:tr w:rsidR="008823FC" w:rsidRPr="00620449" w14:paraId="02350D2A" w14:textId="0785BEAC" w:rsidTr="008823FC">
              <w:tc>
                <w:tcPr>
                  <w:tcW w:w="1932" w:type="dxa"/>
                  <w:vMerge/>
                </w:tcPr>
                <w:p w14:paraId="0763F61C" w14:textId="77777777" w:rsidR="008823FC" w:rsidRPr="00620449" w:rsidRDefault="008823FC" w:rsidP="003E76A6">
                  <w:pPr>
                    <w:jc w:val="both"/>
                    <w:rPr>
                      <w:b/>
                    </w:rPr>
                  </w:pPr>
                </w:p>
              </w:tc>
              <w:tc>
                <w:tcPr>
                  <w:tcW w:w="955" w:type="dxa"/>
                </w:tcPr>
                <w:p w14:paraId="20E541A0" w14:textId="23F72C94" w:rsidR="008823FC" w:rsidRPr="00620449" w:rsidRDefault="008823FC" w:rsidP="003E76A6">
                  <w:pPr>
                    <w:jc w:val="both"/>
                    <w:rPr>
                      <w:b/>
                    </w:rPr>
                  </w:pPr>
                  <w:r w:rsidRPr="00620449">
                    <w:rPr>
                      <w:b/>
                    </w:rPr>
                    <w:t xml:space="preserve">NPP      </w:t>
                  </w:r>
                </w:p>
              </w:tc>
              <w:tc>
                <w:tcPr>
                  <w:tcW w:w="1134" w:type="dxa"/>
                </w:tcPr>
                <w:p w14:paraId="4144ACDB" w14:textId="2C15BA7E" w:rsidR="008823FC" w:rsidRPr="00620449" w:rsidRDefault="008823FC" w:rsidP="008823FC">
                  <w:pPr>
                    <w:jc w:val="center"/>
                  </w:pPr>
                  <w:r w:rsidRPr="00620449">
                    <w:t>-0.65</w:t>
                  </w:r>
                </w:p>
              </w:tc>
              <w:tc>
                <w:tcPr>
                  <w:tcW w:w="1134" w:type="dxa"/>
                </w:tcPr>
                <w:p w14:paraId="16136C79" w14:textId="1F613FD5" w:rsidR="008823FC" w:rsidRPr="00620449" w:rsidRDefault="008823FC" w:rsidP="008823FC">
                  <w:pPr>
                    <w:jc w:val="center"/>
                  </w:pPr>
                  <w:r w:rsidRPr="00620449">
                    <w:t>-0.15</w:t>
                  </w:r>
                </w:p>
              </w:tc>
              <w:tc>
                <w:tcPr>
                  <w:tcW w:w="1842" w:type="dxa"/>
                </w:tcPr>
                <w:p w14:paraId="30F07EFD" w14:textId="77777777" w:rsidR="008823FC" w:rsidRPr="00620449" w:rsidRDefault="008823FC" w:rsidP="008823FC">
                  <w:pPr>
                    <w:jc w:val="center"/>
                  </w:pPr>
                </w:p>
              </w:tc>
            </w:tr>
            <w:tr w:rsidR="008823FC" w:rsidRPr="00620449" w14:paraId="2B6CA9FC" w14:textId="154473B9" w:rsidTr="008823FC">
              <w:tc>
                <w:tcPr>
                  <w:tcW w:w="1932" w:type="dxa"/>
                  <w:vMerge/>
                </w:tcPr>
                <w:p w14:paraId="05075BD7" w14:textId="77777777" w:rsidR="008823FC" w:rsidRPr="00620449" w:rsidRDefault="008823FC" w:rsidP="003E76A6">
                  <w:pPr>
                    <w:jc w:val="both"/>
                    <w:rPr>
                      <w:b/>
                    </w:rPr>
                  </w:pPr>
                </w:p>
              </w:tc>
              <w:tc>
                <w:tcPr>
                  <w:tcW w:w="955" w:type="dxa"/>
                </w:tcPr>
                <w:p w14:paraId="065AF198" w14:textId="79D6E489" w:rsidR="008823FC" w:rsidRPr="00620449" w:rsidRDefault="008823FC" w:rsidP="003E76A6">
                  <w:pPr>
                    <w:jc w:val="both"/>
                  </w:pPr>
                  <w:r w:rsidRPr="00620449">
                    <w:rPr>
                      <w:b/>
                    </w:rPr>
                    <w:t xml:space="preserve">PP         </w:t>
                  </w:r>
                </w:p>
              </w:tc>
              <w:tc>
                <w:tcPr>
                  <w:tcW w:w="1134" w:type="dxa"/>
                </w:tcPr>
                <w:p w14:paraId="0564439B" w14:textId="24825EF7" w:rsidR="008823FC" w:rsidRPr="00620449" w:rsidRDefault="008823FC" w:rsidP="008823FC">
                  <w:pPr>
                    <w:jc w:val="center"/>
                  </w:pPr>
                  <w:r w:rsidRPr="00620449">
                    <w:t>-1.12</w:t>
                  </w:r>
                </w:p>
              </w:tc>
              <w:tc>
                <w:tcPr>
                  <w:tcW w:w="1134" w:type="dxa"/>
                </w:tcPr>
                <w:p w14:paraId="69F30751" w14:textId="50D67284" w:rsidR="008823FC" w:rsidRPr="00620449" w:rsidRDefault="008823FC" w:rsidP="008823FC">
                  <w:pPr>
                    <w:jc w:val="center"/>
                  </w:pPr>
                  <w:r w:rsidRPr="00620449">
                    <w:t>-0.36</w:t>
                  </w:r>
                </w:p>
              </w:tc>
              <w:tc>
                <w:tcPr>
                  <w:tcW w:w="1842" w:type="dxa"/>
                </w:tcPr>
                <w:p w14:paraId="7E184271" w14:textId="77777777" w:rsidR="008823FC" w:rsidRPr="00620449" w:rsidRDefault="008823FC" w:rsidP="008823FC">
                  <w:pPr>
                    <w:jc w:val="center"/>
                  </w:pPr>
                </w:p>
              </w:tc>
            </w:tr>
            <w:tr w:rsidR="008823FC" w:rsidRPr="00620449" w14:paraId="39F2248B" w14:textId="03B9D8C6" w:rsidTr="008823FC">
              <w:tc>
                <w:tcPr>
                  <w:tcW w:w="1932" w:type="dxa"/>
                  <w:vMerge/>
                </w:tcPr>
                <w:p w14:paraId="4B91E289" w14:textId="77777777" w:rsidR="008823FC" w:rsidRPr="00620449" w:rsidRDefault="008823FC" w:rsidP="003E76A6">
                  <w:pPr>
                    <w:jc w:val="both"/>
                    <w:rPr>
                      <w:b/>
                    </w:rPr>
                  </w:pPr>
                </w:p>
              </w:tc>
              <w:tc>
                <w:tcPr>
                  <w:tcW w:w="955" w:type="dxa"/>
                  <w:shd w:val="clear" w:color="auto" w:fill="E7E6E6" w:themeFill="background2"/>
                </w:tcPr>
                <w:p w14:paraId="36AC916A" w14:textId="193A8911" w:rsidR="008823FC" w:rsidRPr="00620449" w:rsidRDefault="008823FC" w:rsidP="003E76A6">
                  <w:pPr>
                    <w:jc w:val="both"/>
                  </w:pPr>
                  <w:r w:rsidRPr="00620449">
                    <w:rPr>
                      <w:b/>
                    </w:rPr>
                    <w:t xml:space="preserve">Gap       </w:t>
                  </w:r>
                </w:p>
              </w:tc>
              <w:tc>
                <w:tcPr>
                  <w:tcW w:w="1134" w:type="dxa"/>
                  <w:shd w:val="clear" w:color="auto" w:fill="E7E6E6" w:themeFill="background2"/>
                </w:tcPr>
                <w:p w14:paraId="097368C0" w14:textId="413FF959" w:rsidR="008823FC" w:rsidRPr="00620449" w:rsidRDefault="008823FC" w:rsidP="008823FC">
                  <w:pPr>
                    <w:jc w:val="center"/>
                  </w:pPr>
                  <w:r w:rsidRPr="00620449">
                    <w:t>0.47</w:t>
                  </w:r>
                </w:p>
              </w:tc>
              <w:tc>
                <w:tcPr>
                  <w:tcW w:w="1134" w:type="dxa"/>
                  <w:shd w:val="clear" w:color="auto" w:fill="E7E6E6" w:themeFill="background2"/>
                </w:tcPr>
                <w:p w14:paraId="15535BB6" w14:textId="74F0FB7D" w:rsidR="008823FC" w:rsidRPr="00620449" w:rsidRDefault="008823FC" w:rsidP="008823FC">
                  <w:pPr>
                    <w:jc w:val="center"/>
                  </w:pPr>
                  <w:r w:rsidRPr="00620449">
                    <w:t>0.21</w:t>
                  </w:r>
                </w:p>
              </w:tc>
              <w:tc>
                <w:tcPr>
                  <w:tcW w:w="1842" w:type="dxa"/>
                  <w:shd w:val="clear" w:color="auto" w:fill="E7E6E6" w:themeFill="background2"/>
                </w:tcPr>
                <w:p w14:paraId="0BBDD0D1" w14:textId="488BB833" w:rsidR="008823FC" w:rsidRPr="00620449" w:rsidRDefault="008823FC" w:rsidP="008823FC">
                  <w:pPr>
                    <w:jc w:val="center"/>
                  </w:pPr>
                  <w:r w:rsidRPr="00620449">
                    <w:t>0.26</w:t>
                  </w:r>
                </w:p>
              </w:tc>
            </w:tr>
            <w:tr w:rsidR="008823FC" w:rsidRPr="00620449" w14:paraId="1176BC41" w14:textId="0C008DD6" w:rsidTr="008823FC">
              <w:tc>
                <w:tcPr>
                  <w:tcW w:w="1932" w:type="dxa"/>
                  <w:vMerge w:val="restart"/>
                </w:tcPr>
                <w:p w14:paraId="45EBDDA7" w14:textId="533CD4CC" w:rsidR="008823FC" w:rsidRPr="00620449" w:rsidRDefault="008823FC" w:rsidP="003E76A6">
                  <w:pPr>
                    <w:jc w:val="both"/>
                    <w:rPr>
                      <w:b/>
                    </w:rPr>
                  </w:pPr>
                  <w:r w:rsidRPr="00620449">
                    <w:rPr>
                      <w:b/>
                    </w:rPr>
                    <w:t>Biology</w:t>
                  </w:r>
                </w:p>
              </w:tc>
              <w:tc>
                <w:tcPr>
                  <w:tcW w:w="955" w:type="dxa"/>
                </w:tcPr>
                <w:p w14:paraId="04A31A3A" w14:textId="6C8E2852" w:rsidR="008823FC" w:rsidRPr="00620449" w:rsidRDefault="008823FC" w:rsidP="003E76A6">
                  <w:pPr>
                    <w:jc w:val="both"/>
                    <w:rPr>
                      <w:b/>
                    </w:rPr>
                  </w:pPr>
                  <w:r w:rsidRPr="00620449">
                    <w:rPr>
                      <w:b/>
                    </w:rPr>
                    <w:t xml:space="preserve">All         </w:t>
                  </w:r>
                </w:p>
              </w:tc>
              <w:tc>
                <w:tcPr>
                  <w:tcW w:w="1134" w:type="dxa"/>
                </w:tcPr>
                <w:p w14:paraId="59B1D208" w14:textId="02D9B62B" w:rsidR="008823FC" w:rsidRPr="00620449" w:rsidRDefault="008823FC" w:rsidP="008823FC">
                  <w:pPr>
                    <w:jc w:val="center"/>
                  </w:pPr>
                  <w:r w:rsidRPr="00620449">
                    <w:t>-0.87</w:t>
                  </w:r>
                </w:p>
              </w:tc>
              <w:tc>
                <w:tcPr>
                  <w:tcW w:w="1134" w:type="dxa"/>
                </w:tcPr>
                <w:p w14:paraId="0031CC49" w14:textId="767845C0" w:rsidR="008823FC" w:rsidRPr="00620449" w:rsidRDefault="008823FC" w:rsidP="008823FC">
                  <w:pPr>
                    <w:jc w:val="center"/>
                  </w:pPr>
                  <w:r w:rsidRPr="00620449">
                    <w:t>-0.21</w:t>
                  </w:r>
                </w:p>
              </w:tc>
              <w:tc>
                <w:tcPr>
                  <w:tcW w:w="1842" w:type="dxa"/>
                </w:tcPr>
                <w:p w14:paraId="0C4E0F28" w14:textId="77777777" w:rsidR="008823FC" w:rsidRPr="00620449" w:rsidRDefault="008823FC" w:rsidP="008823FC">
                  <w:pPr>
                    <w:jc w:val="center"/>
                  </w:pPr>
                </w:p>
              </w:tc>
            </w:tr>
            <w:tr w:rsidR="008823FC" w:rsidRPr="00620449" w14:paraId="129B2F92" w14:textId="29A81ECA" w:rsidTr="008823FC">
              <w:tc>
                <w:tcPr>
                  <w:tcW w:w="1932" w:type="dxa"/>
                  <w:vMerge/>
                </w:tcPr>
                <w:p w14:paraId="6012C981" w14:textId="77777777" w:rsidR="008823FC" w:rsidRPr="00620449" w:rsidRDefault="008823FC" w:rsidP="003E76A6">
                  <w:pPr>
                    <w:jc w:val="both"/>
                    <w:rPr>
                      <w:b/>
                    </w:rPr>
                  </w:pPr>
                </w:p>
              </w:tc>
              <w:tc>
                <w:tcPr>
                  <w:tcW w:w="955" w:type="dxa"/>
                </w:tcPr>
                <w:p w14:paraId="4BC93E6B" w14:textId="5597F714" w:rsidR="008823FC" w:rsidRPr="00620449" w:rsidRDefault="008823FC" w:rsidP="003E76A6">
                  <w:pPr>
                    <w:jc w:val="both"/>
                  </w:pPr>
                  <w:r w:rsidRPr="00620449">
                    <w:rPr>
                      <w:b/>
                    </w:rPr>
                    <w:t xml:space="preserve">NPP      </w:t>
                  </w:r>
                </w:p>
              </w:tc>
              <w:tc>
                <w:tcPr>
                  <w:tcW w:w="1134" w:type="dxa"/>
                </w:tcPr>
                <w:p w14:paraId="6B290739" w14:textId="3BE92771" w:rsidR="008823FC" w:rsidRPr="00620449" w:rsidRDefault="008823FC" w:rsidP="008823FC">
                  <w:pPr>
                    <w:jc w:val="center"/>
                  </w:pPr>
                  <w:r w:rsidRPr="00620449">
                    <w:t>-0.81</w:t>
                  </w:r>
                </w:p>
              </w:tc>
              <w:tc>
                <w:tcPr>
                  <w:tcW w:w="1134" w:type="dxa"/>
                </w:tcPr>
                <w:p w14:paraId="026C5F93" w14:textId="6A740F89" w:rsidR="008823FC" w:rsidRPr="00620449" w:rsidRDefault="008823FC" w:rsidP="008823FC">
                  <w:pPr>
                    <w:jc w:val="center"/>
                  </w:pPr>
                  <w:r w:rsidRPr="00620449">
                    <w:t>-0.17</w:t>
                  </w:r>
                </w:p>
              </w:tc>
              <w:tc>
                <w:tcPr>
                  <w:tcW w:w="1842" w:type="dxa"/>
                </w:tcPr>
                <w:p w14:paraId="31B1FA22" w14:textId="77777777" w:rsidR="008823FC" w:rsidRPr="00620449" w:rsidRDefault="008823FC" w:rsidP="008823FC">
                  <w:pPr>
                    <w:jc w:val="center"/>
                  </w:pPr>
                </w:p>
              </w:tc>
            </w:tr>
            <w:tr w:rsidR="008823FC" w:rsidRPr="00620449" w14:paraId="4A712440" w14:textId="13D5C086" w:rsidTr="008823FC">
              <w:tc>
                <w:tcPr>
                  <w:tcW w:w="1932" w:type="dxa"/>
                  <w:vMerge/>
                </w:tcPr>
                <w:p w14:paraId="7903B8A6" w14:textId="77777777" w:rsidR="008823FC" w:rsidRPr="00620449" w:rsidRDefault="008823FC" w:rsidP="003E76A6">
                  <w:pPr>
                    <w:jc w:val="both"/>
                    <w:rPr>
                      <w:b/>
                    </w:rPr>
                  </w:pPr>
                </w:p>
              </w:tc>
              <w:tc>
                <w:tcPr>
                  <w:tcW w:w="955" w:type="dxa"/>
                </w:tcPr>
                <w:p w14:paraId="1ECFB36A" w14:textId="6C409B24" w:rsidR="008823FC" w:rsidRPr="00620449" w:rsidRDefault="008823FC" w:rsidP="003E76A6">
                  <w:pPr>
                    <w:jc w:val="both"/>
                  </w:pPr>
                  <w:r w:rsidRPr="00620449">
                    <w:rPr>
                      <w:b/>
                    </w:rPr>
                    <w:t xml:space="preserve">PP         </w:t>
                  </w:r>
                </w:p>
              </w:tc>
              <w:tc>
                <w:tcPr>
                  <w:tcW w:w="1134" w:type="dxa"/>
                </w:tcPr>
                <w:p w14:paraId="4A50A3DB" w14:textId="30D71148" w:rsidR="008823FC" w:rsidRPr="00620449" w:rsidRDefault="008823FC" w:rsidP="008823FC">
                  <w:pPr>
                    <w:jc w:val="center"/>
                  </w:pPr>
                  <w:r w:rsidRPr="00620449">
                    <w:t>-1.13</w:t>
                  </w:r>
                </w:p>
              </w:tc>
              <w:tc>
                <w:tcPr>
                  <w:tcW w:w="1134" w:type="dxa"/>
                </w:tcPr>
                <w:p w14:paraId="2122ADC5" w14:textId="23244D7B" w:rsidR="008823FC" w:rsidRPr="00620449" w:rsidRDefault="008823FC" w:rsidP="008823FC">
                  <w:pPr>
                    <w:jc w:val="center"/>
                  </w:pPr>
                  <w:r w:rsidRPr="00620449">
                    <w:t>-0.49</w:t>
                  </w:r>
                </w:p>
              </w:tc>
              <w:tc>
                <w:tcPr>
                  <w:tcW w:w="1842" w:type="dxa"/>
                </w:tcPr>
                <w:p w14:paraId="0A4783D0" w14:textId="77777777" w:rsidR="008823FC" w:rsidRPr="00620449" w:rsidRDefault="008823FC" w:rsidP="008823FC">
                  <w:pPr>
                    <w:jc w:val="center"/>
                  </w:pPr>
                </w:p>
              </w:tc>
            </w:tr>
            <w:tr w:rsidR="008823FC" w:rsidRPr="00620449" w14:paraId="5CE4EA1E" w14:textId="74987FB3" w:rsidTr="008823FC">
              <w:tc>
                <w:tcPr>
                  <w:tcW w:w="1932" w:type="dxa"/>
                  <w:vMerge/>
                </w:tcPr>
                <w:p w14:paraId="7404429C" w14:textId="77777777" w:rsidR="008823FC" w:rsidRPr="00620449" w:rsidRDefault="008823FC" w:rsidP="003E76A6">
                  <w:pPr>
                    <w:jc w:val="both"/>
                    <w:rPr>
                      <w:b/>
                    </w:rPr>
                  </w:pPr>
                </w:p>
              </w:tc>
              <w:tc>
                <w:tcPr>
                  <w:tcW w:w="955" w:type="dxa"/>
                  <w:shd w:val="clear" w:color="auto" w:fill="E7E6E6" w:themeFill="background2"/>
                </w:tcPr>
                <w:p w14:paraId="627C587A" w14:textId="5E4CC82F" w:rsidR="008823FC" w:rsidRPr="00620449" w:rsidRDefault="008823FC" w:rsidP="003E76A6">
                  <w:pPr>
                    <w:jc w:val="both"/>
                  </w:pPr>
                  <w:r w:rsidRPr="00620449">
                    <w:rPr>
                      <w:b/>
                    </w:rPr>
                    <w:t xml:space="preserve">Gap      </w:t>
                  </w:r>
                </w:p>
              </w:tc>
              <w:tc>
                <w:tcPr>
                  <w:tcW w:w="1134" w:type="dxa"/>
                  <w:shd w:val="clear" w:color="auto" w:fill="E7E6E6" w:themeFill="background2"/>
                </w:tcPr>
                <w:p w14:paraId="43D870E7" w14:textId="13FB38A3" w:rsidR="008823FC" w:rsidRPr="00620449" w:rsidRDefault="008823FC" w:rsidP="008823FC">
                  <w:pPr>
                    <w:jc w:val="center"/>
                  </w:pPr>
                  <w:r w:rsidRPr="00620449">
                    <w:t>0.32</w:t>
                  </w:r>
                </w:p>
              </w:tc>
              <w:tc>
                <w:tcPr>
                  <w:tcW w:w="1134" w:type="dxa"/>
                  <w:shd w:val="clear" w:color="auto" w:fill="E7E6E6" w:themeFill="background2"/>
                </w:tcPr>
                <w:p w14:paraId="575B1942" w14:textId="35AEA238" w:rsidR="008823FC" w:rsidRPr="00620449" w:rsidRDefault="008823FC" w:rsidP="008823FC">
                  <w:pPr>
                    <w:jc w:val="center"/>
                  </w:pPr>
                  <w:r w:rsidRPr="00620449">
                    <w:t>0.32</w:t>
                  </w:r>
                </w:p>
              </w:tc>
              <w:tc>
                <w:tcPr>
                  <w:tcW w:w="1842" w:type="dxa"/>
                  <w:shd w:val="clear" w:color="auto" w:fill="E7E6E6" w:themeFill="background2"/>
                </w:tcPr>
                <w:p w14:paraId="1967FEA0" w14:textId="45115C4E" w:rsidR="008823FC" w:rsidRPr="00620449" w:rsidRDefault="008823FC" w:rsidP="008823FC">
                  <w:pPr>
                    <w:jc w:val="center"/>
                  </w:pPr>
                  <w:r w:rsidRPr="00620449">
                    <w:t>0</w:t>
                  </w:r>
                </w:p>
              </w:tc>
            </w:tr>
            <w:tr w:rsidR="008823FC" w:rsidRPr="00620449" w14:paraId="54623393" w14:textId="459FF8B2" w:rsidTr="008823FC">
              <w:tc>
                <w:tcPr>
                  <w:tcW w:w="1932" w:type="dxa"/>
                  <w:vMerge w:val="restart"/>
                </w:tcPr>
                <w:p w14:paraId="5EB5C94F" w14:textId="67ED7445" w:rsidR="008823FC" w:rsidRPr="00620449" w:rsidRDefault="008823FC" w:rsidP="003E76A6">
                  <w:pPr>
                    <w:jc w:val="both"/>
                    <w:rPr>
                      <w:b/>
                    </w:rPr>
                  </w:pPr>
                  <w:r w:rsidRPr="00620449">
                    <w:rPr>
                      <w:b/>
                    </w:rPr>
                    <w:t>Chemistry</w:t>
                  </w:r>
                </w:p>
              </w:tc>
              <w:tc>
                <w:tcPr>
                  <w:tcW w:w="955" w:type="dxa"/>
                </w:tcPr>
                <w:p w14:paraId="7EF8CA97" w14:textId="1856385C" w:rsidR="008823FC" w:rsidRPr="00620449" w:rsidRDefault="008823FC" w:rsidP="003E76A6">
                  <w:pPr>
                    <w:jc w:val="both"/>
                    <w:rPr>
                      <w:b/>
                    </w:rPr>
                  </w:pPr>
                  <w:r w:rsidRPr="00620449">
                    <w:rPr>
                      <w:b/>
                    </w:rPr>
                    <w:t xml:space="preserve">All        </w:t>
                  </w:r>
                </w:p>
              </w:tc>
              <w:tc>
                <w:tcPr>
                  <w:tcW w:w="1134" w:type="dxa"/>
                </w:tcPr>
                <w:p w14:paraId="28081FC3" w14:textId="2DDCC9E9" w:rsidR="008823FC" w:rsidRPr="00620449" w:rsidRDefault="008823FC" w:rsidP="008823FC">
                  <w:pPr>
                    <w:jc w:val="center"/>
                  </w:pPr>
                  <w:r w:rsidRPr="00620449">
                    <w:t>-0.79</w:t>
                  </w:r>
                </w:p>
              </w:tc>
              <w:tc>
                <w:tcPr>
                  <w:tcW w:w="1134" w:type="dxa"/>
                </w:tcPr>
                <w:p w14:paraId="2980FC77" w14:textId="33890F61" w:rsidR="008823FC" w:rsidRPr="00620449" w:rsidRDefault="008823FC" w:rsidP="008823FC">
                  <w:pPr>
                    <w:jc w:val="center"/>
                  </w:pPr>
                  <w:r w:rsidRPr="00620449">
                    <w:t>-0.10</w:t>
                  </w:r>
                </w:p>
              </w:tc>
              <w:tc>
                <w:tcPr>
                  <w:tcW w:w="1842" w:type="dxa"/>
                </w:tcPr>
                <w:p w14:paraId="2514A3D3" w14:textId="77777777" w:rsidR="008823FC" w:rsidRPr="00620449" w:rsidRDefault="008823FC" w:rsidP="008823FC">
                  <w:pPr>
                    <w:jc w:val="center"/>
                  </w:pPr>
                </w:p>
              </w:tc>
            </w:tr>
            <w:tr w:rsidR="008823FC" w:rsidRPr="00620449" w14:paraId="09180760" w14:textId="23DDA35B" w:rsidTr="008823FC">
              <w:tc>
                <w:tcPr>
                  <w:tcW w:w="1932" w:type="dxa"/>
                  <w:vMerge/>
                </w:tcPr>
                <w:p w14:paraId="5D9060EA" w14:textId="77777777" w:rsidR="008823FC" w:rsidRPr="00620449" w:rsidRDefault="008823FC" w:rsidP="003E76A6">
                  <w:pPr>
                    <w:jc w:val="both"/>
                    <w:rPr>
                      <w:b/>
                    </w:rPr>
                  </w:pPr>
                </w:p>
              </w:tc>
              <w:tc>
                <w:tcPr>
                  <w:tcW w:w="955" w:type="dxa"/>
                </w:tcPr>
                <w:p w14:paraId="06E2D929" w14:textId="364FBE32" w:rsidR="008823FC" w:rsidRPr="00620449" w:rsidRDefault="008823FC" w:rsidP="003E76A6">
                  <w:pPr>
                    <w:jc w:val="both"/>
                  </w:pPr>
                  <w:r w:rsidRPr="00620449">
                    <w:rPr>
                      <w:b/>
                    </w:rPr>
                    <w:t xml:space="preserve">NPP      </w:t>
                  </w:r>
                </w:p>
              </w:tc>
              <w:tc>
                <w:tcPr>
                  <w:tcW w:w="1134" w:type="dxa"/>
                </w:tcPr>
                <w:p w14:paraId="41CCDA85" w14:textId="2C132651" w:rsidR="008823FC" w:rsidRPr="00620449" w:rsidRDefault="008823FC" w:rsidP="008823FC">
                  <w:pPr>
                    <w:jc w:val="center"/>
                  </w:pPr>
                  <w:r w:rsidRPr="00620449">
                    <w:t>-0.75</w:t>
                  </w:r>
                </w:p>
              </w:tc>
              <w:tc>
                <w:tcPr>
                  <w:tcW w:w="1134" w:type="dxa"/>
                </w:tcPr>
                <w:p w14:paraId="47B1BFCD" w14:textId="51C8B610" w:rsidR="008823FC" w:rsidRPr="00620449" w:rsidRDefault="008823FC" w:rsidP="008823FC">
                  <w:pPr>
                    <w:jc w:val="center"/>
                  </w:pPr>
                  <w:r w:rsidRPr="00620449">
                    <w:t>-0.10</w:t>
                  </w:r>
                </w:p>
              </w:tc>
              <w:tc>
                <w:tcPr>
                  <w:tcW w:w="1842" w:type="dxa"/>
                </w:tcPr>
                <w:p w14:paraId="08D09B66" w14:textId="77777777" w:rsidR="008823FC" w:rsidRPr="00620449" w:rsidRDefault="008823FC" w:rsidP="008823FC">
                  <w:pPr>
                    <w:jc w:val="center"/>
                  </w:pPr>
                </w:p>
              </w:tc>
            </w:tr>
            <w:tr w:rsidR="008823FC" w:rsidRPr="00620449" w14:paraId="760C4162" w14:textId="45E65A84" w:rsidTr="008823FC">
              <w:tc>
                <w:tcPr>
                  <w:tcW w:w="1932" w:type="dxa"/>
                  <w:vMerge/>
                </w:tcPr>
                <w:p w14:paraId="4E973887" w14:textId="77777777" w:rsidR="008823FC" w:rsidRPr="00620449" w:rsidRDefault="008823FC" w:rsidP="003E76A6">
                  <w:pPr>
                    <w:jc w:val="both"/>
                    <w:rPr>
                      <w:b/>
                    </w:rPr>
                  </w:pPr>
                </w:p>
              </w:tc>
              <w:tc>
                <w:tcPr>
                  <w:tcW w:w="955" w:type="dxa"/>
                </w:tcPr>
                <w:p w14:paraId="1A607461" w14:textId="679323AA" w:rsidR="008823FC" w:rsidRPr="00620449" w:rsidRDefault="008823FC" w:rsidP="003E76A6">
                  <w:pPr>
                    <w:jc w:val="both"/>
                  </w:pPr>
                  <w:r w:rsidRPr="00620449">
                    <w:rPr>
                      <w:b/>
                    </w:rPr>
                    <w:t xml:space="preserve">PP        </w:t>
                  </w:r>
                </w:p>
              </w:tc>
              <w:tc>
                <w:tcPr>
                  <w:tcW w:w="1134" w:type="dxa"/>
                </w:tcPr>
                <w:p w14:paraId="5EC85579" w14:textId="006573A8" w:rsidR="008823FC" w:rsidRPr="00620449" w:rsidRDefault="008823FC" w:rsidP="008823FC">
                  <w:pPr>
                    <w:jc w:val="center"/>
                  </w:pPr>
                  <w:r w:rsidRPr="00620449">
                    <w:t>-0.96</w:t>
                  </w:r>
                </w:p>
              </w:tc>
              <w:tc>
                <w:tcPr>
                  <w:tcW w:w="1134" w:type="dxa"/>
                </w:tcPr>
                <w:p w14:paraId="015D5ED8" w14:textId="0AD92EF6" w:rsidR="008823FC" w:rsidRPr="00620449" w:rsidRDefault="008823FC" w:rsidP="008823FC">
                  <w:pPr>
                    <w:jc w:val="center"/>
                  </w:pPr>
                  <w:r w:rsidRPr="00620449">
                    <w:t>-0.09</w:t>
                  </w:r>
                </w:p>
              </w:tc>
              <w:tc>
                <w:tcPr>
                  <w:tcW w:w="1842" w:type="dxa"/>
                </w:tcPr>
                <w:p w14:paraId="312B5837" w14:textId="77777777" w:rsidR="008823FC" w:rsidRPr="00620449" w:rsidRDefault="008823FC" w:rsidP="008823FC">
                  <w:pPr>
                    <w:jc w:val="center"/>
                  </w:pPr>
                </w:p>
              </w:tc>
            </w:tr>
            <w:tr w:rsidR="008823FC" w:rsidRPr="00620449" w14:paraId="506BAB06" w14:textId="66E3FCC9" w:rsidTr="008823FC">
              <w:tc>
                <w:tcPr>
                  <w:tcW w:w="1932" w:type="dxa"/>
                  <w:vMerge/>
                </w:tcPr>
                <w:p w14:paraId="12873CB1" w14:textId="77777777" w:rsidR="008823FC" w:rsidRPr="00620449" w:rsidRDefault="008823FC" w:rsidP="003E76A6">
                  <w:pPr>
                    <w:jc w:val="both"/>
                    <w:rPr>
                      <w:b/>
                    </w:rPr>
                  </w:pPr>
                </w:p>
              </w:tc>
              <w:tc>
                <w:tcPr>
                  <w:tcW w:w="955" w:type="dxa"/>
                  <w:shd w:val="clear" w:color="auto" w:fill="E7E6E6" w:themeFill="background2"/>
                </w:tcPr>
                <w:p w14:paraId="693001BA" w14:textId="3FDA30F4" w:rsidR="008823FC" w:rsidRPr="00620449" w:rsidRDefault="008823FC" w:rsidP="003E76A6">
                  <w:pPr>
                    <w:jc w:val="both"/>
                    <w:rPr>
                      <w:b/>
                    </w:rPr>
                  </w:pPr>
                  <w:r w:rsidRPr="00620449">
                    <w:rPr>
                      <w:b/>
                    </w:rPr>
                    <w:t xml:space="preserve">Gap      </w:t>
                  </w:r>
                </w:p>
              </w:tc>
              <w:tc>
                <w:tcPr>
                  <w:tcW w:w="1134" w:type="dxa"/>
                  <w:shd w:val="clear" w:color="auto" w:fill="E7E6E6" w:themeFill="background2"/>
                </w:tcPr>
                <w:p w14:paraId="4BB4900A" w14:textId="70AFEEE6" w:rsidR="008823FC" w:rsidRPr="00620449" w:rsidRDefault="008823FC" w:rsidP="008823FC">
                  <w:pPr>
                    <w:jc w:val="center"/>
                  </w:pPr>
                  <w:r w:rsidRPr="00620449">
                    <w:t>0.21</w:t>
                  </w:r>
                </w:p>
              </w:tc>
              <w:tc>
                <w:tcPr>
                  <w:tcW w:w="1134" w:type="dxa"/>
                  <w:shd w:val="clear" w:color="auto" w:fill="E7E6E6" w:themeFill="background2"/>
                </w:tcPr>
                <w:p w14:paraId="71BF3BF2" w14:textId="1A7D1108" w:rsidR="008823FC" w:rsidRPr="00620449" w:rsidRDefault="008823FC" w:rsidP="008823FC">
                  <w:pPr>
                    <w:jc w:val="center"/>
                  </w:pPr>
                  <w:r w:rsidRPr="00620449">
                    <w:t>-0.01</w:t>
                  </w:r>
                </w:p>
              </w:tc>
              <w:tc>
                <w:tcPr>
                  <w:tcW w:w="1842" w:type="dxa"/>
                  <w:shd w:val="clear" w:color="auto" w:fill="E7E6E6" w:themeFill="background2"/>
                </w:tcPr>
                <w:p w14:paraId="53659DCF" w14:textId="5F66029E" w:rsidR="008823FC" w:rsidRPr="00620449" w:rsidRDefault="008823FC" w:rsidP="008823FC">
                  <w:pPr>
                    <w:jc w:val="center"/>
                  </w:pPr>
                  <w:r w:rsidRPr="00620449">
                    <w:t>0.22</w:t>
                  </w:r>
                </w:p>
              </w:tc>
            </w:tr>
            <w:tr w:rsidR="008823FC" w:rsidRPr="00620449" w14:paraId="0F1718A8" w14:textId="7C63F286" w:rsidTr="008823FC">
              <w:tc>
                <w:tcPr>
                  <w:tcW w:w="1932" w:type="dxa"/>
                  <w:vMerge w:val="restart"/>
                </w:tcPr>
                <w:p w14:paraId="6A30AE0F" w14:textId="6FB95743" w:rsidR="008823FC" w:rsidRPr="00620449" w:rsidRDefault="008823FC" w:rsidP="003E76A6">
                  <w:pPr>
                    <w:jc w:val="both"/>
                    <w:rPr>
                      <w:b/>
                    </w:rPr>
                  </w:pPr>
                  <w:r w:rsidRPr="00620449">
                    <w:rPr>
                      <w:b/>
                    </w:rPr>
                    <w:t>Physics</w:t>
                  </w:r>
                </w:p>
              </w:tc>
              <w:tc>
                <w:tcPr>
                  <w:tcW w:w="955" w:type="dxa"/>
                </w:tcPr>
                <w:p w14:paraId="68925DE6" w14:textId="37D76657" w:rsidR="008823FC" w:rsidRPr="00620449" w:rsidRDefault="008823FC" w:rsidP="003E76A6">
                  <w:pPr>
                    <w:jc w:val="both"/>
                    <w:rPr>
                      <w:b/>
                    </w:rPr>
                  </w:pPr>
                  <w:r w:rsidRPr="00620449">
                    <w:rPr>
                      <w:b/>
                    </w:rPr>
                    <w:t xml:space="preserve">All        </w:t>
                  </w:r>
                </w:p>
              </w:tc>
              <w:tc>
                <w:tcPr>
                  <w:tcW w:w="1134" w:type="dxa"/>
                </w:tcPr>
                <w:p w14:paraId="40CB4B2E" w14:textId="728353F7" w:rsidR="008823FC" w:rsidRPr="00620449" w:rsidRDefault="008823FC" w:rsidP="008823FC">
                  <w:pPr>
                    <w:jc w:val="center"/>
                  </w:pPr>
                  <w:r w:rsidRPr="00620449">
                    <w:t>-0.79</w:t>
                  </w:r>
                </w:p>
              </w:tc>
              <w:tc>
                <w:tcPr>
                  <w:tcW w:w="1134" w:type="dxa"/>
                </w:tcPr>
                <w:p w14:paraId="52292256" w14:textId="1A777B7B" w:rsidR="008823FC" w:rsidRPr="00620449" w:rsidRDefault="008823FC" w:rsidP="008823FC">
                  <w:pPr>
                    <w:jc w:val="center"/>
                  </w:pPr>
                  <w:r w:rsidRPr="00620449">
                    <w:t>-0.05</w:t>
                  </w:r>
                </w:p>
              </w:tc>
              <w:tc>
                <w:tcPr>
                  <w:tcW w:w="1842" w:type="dxa"/>
                </w:tcPr>
                <w:p w14:paraId="215C0734" w14:textId="77777777" w:rsidR="008823FC" w:rsidRPr="00620449" w:rsidRDefault="008823FC" w:rsidP="008823FC">
                  <w:pPr>
                    <w:jc w:val="center"/>
                  </w:pPr>
                </w:p>
              </w:tc>
            </w:tr>
            <w:tr w:rsidR="008823FC" w:rsidRPr="00620449" w14:paraId="2478126D" w14:textId="628D0791" w:rsidTr="008823FC">
              <w:tc>
                <w:tcPr>
                  <w:tcW w:w="1932" w:type="dxa"/>
                  <w:vMerge/>
                </w:tcPr>
                <w:p w14:paraId="0FFB86E9" w14:textId="77777777" w:rsidR="008823FC" w:rsidRPr="00620449" w:rsidRDefault="008823FC" w:rsidP="003E76A6">
                  <w:pPr>
                    <w:jc w:val="both"/>
                    <w:rPr>
                      <w:b/>
                    </w:rPr>
                  </w:pPr>
                </w:p>
              </w:tc>
              <w:tc>
                <w:tcPr>
                  <w:tcW w:w="955" w:type="dxa"/>
                </w:tcPr>
                <w:p w14:paraId="3F7359AF" w14:textId="0EF9F970" w:rsidR="008823FC" w:rsidRPr="00620449" w:rsidRDefault="008823FC" w:rsidP="003E76A6">
                  <w:pPr>
                    <w:jc w:val="both"/>
                  </w:pPr>
                  <w:r w:rsidRPr="00620449">
                    <w:rPr>
                      <w:b/>
                    </w:rPr>
                    <w:t xml:space="preserve">NPP      </w:t>
                  </w:r>
                </w:p>
              </w:tc>
              <w:tc>
                <w:tcPr>
                  <w:tcW w:w="1134" w:type="dxa"/>
                </w:tcPr>
                <w:p w14:paraId="4970A80D" w14:textId="369C91CE" w:rsidR="008823FC" w:rsidRPr="00620449" w:rsidRDefault="008823FC" w:rsidP="008823FC">
                  <w:pPr>
                    <w:jc w:val="center"/>
                  </w:pPr>
                  <w:r w:rsidRPr="00620449">
                    <w:t>-0.72</w:t>
                  </w:r>
                </w:p>
              </w:tc>
              <w:tc>
                <w:tcPr>
                  <w:tcW w:w="1134" w:type="dxa"/>
                </w:tcPr>
                <w:p w14:paraId="47445B87" w14:textId="3B093427" w:rsidR="008823FC" w:rsidRPr="00620449" w:rsidRDefault="008823FC" w:rsidP="008823FC">
                  <w:pPr>
                    <w:jc w:val="center"/>
                  </w:pPr>
                  <w:r w:rsidRPr="00620449">
                    <w:t>-0.04</w:t>
                  </w:r>
                </w:p>
              </w:tc>
              <w:tc>
                <w:tcPr>
                  <w:tcW w:w="1842" w:type="dxa"/>
                </w:tcPr>
                <w:p w14:paraId="57682FEC" w14:textId="77777777" w:rsidR="008823FC" w:rsidRPr="00620449" w:rsidRDefault="008823FC" w:rsidP="008823FC">
                  <w:pPr>
                    <w:jc w:val="center"/>
                  </w:pPr>
                </w:p>
              </w:tc>
            </w:tr>
            <w:tr w:rsidR="008823FC" w:rsidRPr="00620449" w14:paraId="20116F7A" w14:textId="5303604D" w:rsidTr="008823FC">
              <w:tc>
                <w:tcPr>
                  <w:tcW w:w="1932" w:type="dxa"/>
                  <w:vMerge/>
                </w:tcPr>
                <w:p w14:paraId="55D8C1B7" w14:textId="77777777" w:rsidR="008823FC" w:rsidRPr="00620449" w:rsidRDefault="008823FC" w:rsidP="003E76A6">
                  <w:pPr>
                    <w:jc w:val="both"/>
                    <w:rPr>
                      <w:b/>
                    </w:rPr>
                  </w:pPr>
                </w:p>
              </w:tc>
              <w:tc>
                <w:tcPr>
                  <w:tcW w:w="955" w:type="dxa"/>
                </w:tcPr>
                <w:p w14:paraId="778C6ACF" w14:textId="57AD2262" w:rsidR="008823FC" w:rsidRPr="00620449" w:rsidRDefault="008823FC" w:rsidP="003E76A6">
                  <w:pPr>
                    <w:jc w:val="both"/>
                  </w:pPr>
                  <w:r w:rsidRPr="00620449">
                    <w:rPr>
                      <w:b/>
                    </w:rPr>
                    <w:t>PP</w:t>
                  </w:r>
                  <w:r w:rsidRPr="00620449">
                    <w:t xml:space="preserve">         </w:t>
                  </w:r>
                </w:p>
              </w:tc>
              <w:tc>
                <w:tcPr>
                  <w:tcW w:w="1134" w:type="dxa"/>
                </w:tcPr>
                <w:p w14:paraId="4FC4E44B" w14:textId="04A32FB9" w:rsidR="008823FC" w:rsidRPr="00620449" w:rsidRDefault="008823FC" w:rsidP="008823FC">
                  <w:pPr>
                    <w:jc w:val="center"/>
                  </w:pPr>
                  <w:r w:rsidRPr="00620449">
                    <w:t>-1.03</w:t>
                  </w:r>
                </w:p>
              </w:tc>
              <w:tc>
                <w:tcPr>
                  <w:tcW w:w="1134" w:type="dxa"/>
                </w:tcPr>
                <w:p w14:paraId="60EA8587" w14:textId="7155FE8B" w:rsidR="008823FC" w:rsidRPr="00620449" w:rsidRDefault="008823FC" w:rsidP="008823FC">
                  <w:pPr>
                    <w:jc w:val="center"/>
                  </w:pPr>
                  <w:r w:rsidRPr="00620449">
                    <w:t>-0.08</w:t>
                  </w:r>
                </w:p>
              </w:tc>
              <w:tc>
                <w:tcPr>
                  <w:tcW w:w="1842" w:type="dxa"/>
                </w:tcPr>
                <w:p w14:paraId="43925592" w14:textId="77777777" w:rsidR="008823FC" w:rsidRPr="00620449" w:rsidRDefault="008823FC" w:rsidP="008823FC">
                  <w:pPr>
                    <w:jc w:val="center"/>
                  </w:pPr>
                </w:p>
              </w:tc>
            </w:tr>
            <w:tr w:rsidR="008823FC" w:rsidRPr="00620449" w14:paraId="4485181D" w14:textId="5FE99595" w:rsidTr="008823FC">
              <w:tc>
                <w:tcPr>
                  <w:tcW w:w="1932" w:type="dxa"/>
                  <w:vMerge/>
                </w:tcPr>
                <w:p w14:paraId="3F3224C4" w14:textId="77777777" w:rsidR="008823FC" w:rsidRPr="00620449" w:rsidRDefault="008823FC" w:rsidP="003E76A6">
                  <w:pPr>
                    <w:jc w:val="both"/>
                    <w:rPr>
                      <w:b/>
                    </w:rPr>
                  </w:pPr>
                </w:p>
              </w:tc>
              <w:tc>
                <w:tcPr>
                  <w:tcW w:w="955" w:type="dxa"/>
                  <w:shd w:val="clear" w:color="auto" w:fill="E7E6E6" w:themeFill="background2"/>
                </w:tcPr>
                <w:p w14:paraId="01B93C30" w14:textId="30177EBC" w:rsidR="008823FC" w:rsidRPr="00620449" w:rsidRDefault="008823FC" w:rsidP="003E76A6">
                  <w:pPr>
                    <w:jc w:val="both"/>
                    <w:rPr>
                      <w:b/>
                    </w:rPr>
                  </w:pPr>
                  <w:r w:rsidRPr="00620449">
                    <w:rPr>
                      <w:b/>
                    </w:rPr>
                    <w:t xml:space="preserve">Gap      </w:t>
                  </w:r>
                </w:p>
              </w:tc>
              <w:tc>
                <w:tcPr>
                  <w:tcW w:w="1134" w:type="dxa"/>
                  <w:shd w:val="clear" w:color="auto" w:fill="E7E6E6" w:themeFill="background2"/>
                </w:tcPr>
                <w:p w14:paraId="21A6C257" w14:textId="7C229E16" w:rsidR="008823FC" w:rsidRPr="00620449" w:rsidRDefault="008823FC" w:rsidP="008823FC">
                  <w:pPr>
                    <w:jc w:val="center"/>
                  </w:pPr>
                  <w:r w:rsidRPr="00620449">
                    <w:t>0.31</w:t>
                  </w:r>
                </w:p>
              </w:tc>
              <w:tc>
                <w:tcPr>
                  <w:tcW w:w="1134" w:type="dxa"/>
                  <w:shd w:val="clear" w:color="auto" w:fill="E7E6E6" w:themeFill="background2"/>
                </w:tcPr>
                <w:p w14:paraId="3A46ADC4" w14:textId="58226E19" w:rsidR="008823FC" w:rsidRPr="00620449" w:rsidRDefault="008823FC" w:rsidP="008823FC">
                  <w:pPr>
                    <w:jc w:val="center"/>
                  </w:pPr>
                  <w:r w:rsidRPr="00620449">
                    <w:t>0.04</w:t>
                  </w:r>
                </w:p>
              </w:tc>
              <w:tc>
                <w:tcPr>
                  <w:tcW w:w="1842" w:type="dxa"/>
                  <w:shd w:val="clear" w:color="auto" w:fill="E7E6E6" w:themeFill="background2"/>
                </w:tcPr>
                <w:p w14:paraId="1F1C6347" w14:textId="5A1B68B6" w:rsidR="008823FC" w:rsidRPr="00620449" w:rsidRDefault="00211005" w:rsidP="008823FC">
                  <w:pPr>
                    <w:jc w:val="center"/>
                  </w:pPr>
                  <w:r w:rsidRPr="00620449">
                    <w:t>0.27</w:t>
                  </w:r>
                </w:p>
              </w:tc>
            </w:tr>
          </w:tbl>
          <w:p w14:paraId="70411EB6" w14:textId="1F85E2A6" w:rsidR="003E76A6" w:rsidRDefault="003E76A6" w:rsidP="003E76A6">
            <w:pPr>
              <w:jc w:val="both"/>
            </w:pPr>
          </w:p>
          <w:p w14:paraId="6E54BCEA" w14:textId="4E9562E5" w:rsidR="00010184" w:rsidRPr="00620449" w:rsidRDefault="00010184" w:rsidP="003E76A6">
            <w:pPr>
              <w:jc w:val="both"/>
            </w:pPr>
            <w:r>
              <w:t xml:space="preserve">This data shows the gap has narrowed in all subjects where this intervention took place except </w:t>
            </w:r>
          </w:p>
          <w:p w14:paraId="6FC23889" w14:textId="23062700" w:rsidR="008A1B3C" w:rsidRPr="00620449" w:rsidRDefault="00211005" w:rsidP="003E76A6">
            <w:pPr>
              <w:jc w:val="both"/>
            </w:pPr>
            <w:r w:rsidRPr="00620449">
              <w:t xml:space="preserve">Biology between 2017-18 and 2018-19.  </w:t>
            </w:r>
            <w:r w:rsidR="008A1B3C" w:rsidRPr="00620449">
              <w:t>The effectiveness of the programmes has been reviewed</w:t>
            </w:r>
            <w:r w:rsidR="00DA3E3F" w:rsidRPr="00620449">
              <w:t xml:space="preserve"> and</w:t>
            </w:r>
            <w:r w:rsidR="008B18ED" w:rsidRPr="00620449">
              <w:t xml:space="preserve"> further</w:t>
            </w:r>
            <w:r w:rsidR="00DA3E3F" w:rsidRPr="00620449">
              <w:t xml:space="preserve"> strengthened for 2019/20</w:t>
            </w:r>
            <w:r w:rsidR="008A1B3C" w:rsidRPr="00620449">
              <w:t xml:space="preserve">. </w:t>
            </w:r>
          </w:p>
        </w:tc>
        <w:tc>
          <w:tcPr>
            <w:tcW w:w="1231" w:type="dxa"/>
          </w:tcPr>
          <w:p w14:paraId="08FFD436" w14:textId="77777777" w:rsidR="008A1B3C" w:rsidRPr="00740367" w:rsidRDefault="008A1B3C" w:rsidP="00B726BA">
            <w:pPr>
              <w:jc w:val="center"/>
            </w:pPr>
            <w:r w:rsidRPr="00740367">
              <w:t xml:space="preserve">Yes </w:t>
            </w:r>
          </w:p>
        </w:tc>
      </w:tr>
      <w:tr w:rsidR="009C26AA" w:rsidRPr="00740367" w14:paraId="5817D736" w14:textId="77777777" w:rsidTr="00085BC5">
        <w:trPr>
          <w:jc w:val="center"/>
        </w:trPr>
        <w:tc>
          <w:tcPr>
            <w:tcW w:w="2023" w:type="dxa"/>
          </w:tcPr>
          <w:p w14:paraId="25B40B49" w14:textId="77777777" w:rsidR="009C26AA" w:rsidRPr="00CA1CBA" w:rsidRDefault="009C26AA" w:rsidP="00B726BA">
            <w:pPr>
              <w:jc w:val="center"/>
              <w:rPr>
                <w:color w:val="000000" w:themeColor="text1"/>
              </w:rPr>
            </w:pPr>
            <w:r>
              <w:rPr>
                <w:color w:val="000000" w:themeColor="text1"/>
              </w:rPr>
              <w:t>Learning Mentor</w:t>
            </w:r>
          </w:p>
        </w:tc>
        <w:tc>
          <w:tcPr>
            <w:tcW w:w="1357" w:type="dxa"/>
          </w:tcPr>
          <w:p w14:paraId="0721C76A" w14:textId="77777777" w:rsidR="009C26AA" w:rsidRPr="00CA1CBA" w:rsidRDefault="009C26AA" w:rsidP="00B726BA">
            <w:pPr>
              <w:jc w:val="center"/>
              <w:rPr>
                <w:rFonts w:ascii="Calibri" w:hAnsi="Calibri"/>
                <w:color w:val="000000" w:themeColor="text1"/>
                <w:shd w:val="clear" w:color="auto" w:fill="FFFFFF"/>
              </w:rPr>
            </w:pPr>
            <w:r>
              <w:rPr>
                <w:rFonts w:ascii="Calibri" w:hAnsi="Calibri"/>
                <w:color w:val="000000" w:themeColor="text1"/>
                <w:shd w:val="clear" w:color="auto" w:fill="FFFFFF"/>
              </w:rPr>
              <w:t>£25,285</w:t>
            </w:r>
          </w:p>
        </w:tc>
        <w:tc>
          <w:tcPr>
            <w:tcW w:w="1405" w:type="dxa"/>
          </w:tcPr>
          <w:p w14:paraId="35EBE375" w14:textId="77777777" w:rsidR="009C26AA" w:rsidRPr="00CA1CBA" w:rsidRDefault="009C26AA" w:rsidP="00B726BA">
            <w:pPr>
              <w:jc w:val="center"/>
              <w:rPr>
                <w:color w:val="000000" w:themeColor="text1"/>
              </w:rPr>
            </w:pPr>
            <w:r>
              <w:rPr>
                <w:color w:val="000000" w:themeColor="text1"/>
              </w:rPr>
              <w:t>3/4</w:t>
            </w:r>
          </w:p>
        </w:tc>
        <w:tc>
          <w:tcPr>
            <w:tcW w:w="8868" w:type="dxa"/>
          </w:tcPr>
          <w:p w14:paraId="3581D0F4" w14:textId="06BA339C" w:rsidR="009C26AA" w:rsidRPr="009C26AA" w:rsidRDefault="007707F1" w:rsidP="00405923">
            <w:pPr>
              <w:jc w:val="both"/>
              <w:rPr>
                <w:highlight w:val="yellow"/>
              </w:rPr>
            </w:pPr>
            <w:r w:rsidRPr="00DA3E3F">
              <w:t>The Learning Mentor work</w:t>
            </w:r>
            <w:r w:rsidR="00DA3E3F" w:rsidRPr="00DA3E3F">
              <w:t>s</w:t>
            </w:r>
            <w:r w:rsidRPr="00DA3E3F">
              <w:t xml:space="preserve"> with PP students to provide one to one support in particular for students with behaviour issues who were finding themselves isolated from lessons as a result of poor behaviour choices.</w:t>
            </w:r>
            <w:r w:rsidR="00DA3E3F" w:rsidRPr="00DA3E3F">
              <w:t xml:space="preserve">  She also worked with students who were ‘at risk’ of being isolated from lessons due to their behaviours.</w:t>
            </w:r>
            <w:r w:rsidRPr="00DA3E3F">
              <w:t xml:space="preserve">  </w:t>
            </w:r>
            <w:r w:rsidR="00DB33E7">
              <w:t xml:space="preserve">79% of Y11 PP students the learning mentor carried out intervention with last year were boys.  </w:t>
            </w:r>
            <w:r w:rsidR="00DB33E7" w:rsidRPr="003C0BCD">
              <w:t xml:space="preserve">Last year the gap closed for PP boys from -1.203 in 2017-18 to -0.955 in 2018-19.  </w:t>
            </w:r>
            <w:r w:rsidR="00405923">
              <w:t xml:space="preserve">Over the course of the year the number of PP students who found themselves in REMOVE was halved.  A number of students found that after appropriate intervention from the learning mentor, their individual behaviour points were reduced and that their remove referrals reduced significantly or stopped altogether.  </w:t>
            </w:r>
            <w:r w:rsidR="0066335C" w:rsidRPr="003C0BCD">
              <w:t>T</w:t>
            </w:r>
            <w:r w:rsidR="00DB33E7" w:rsidRPr="003C0BCD">
              <w:t>his strategy will not continue in 2019-20 due to changes to the behaviour policy.</w:t>
            </w:r>
          </w:p>
        </w:tc>
        <w:tc>
          <w:tcPr>
            <w:tcW w:w="1231" w:type="dxa"/>
          </w:tcPr>
          <w:p w14:paraId="5039E520" w14:textId="77777777" w:rsidR="009C26AA" w:rsidRPr="00740367" w:rsidRDefault="009C26AA" w:rsidP="00B726BA">
            <w:pPr>
              <w:jc w:val="center"/>
            </w:pPr>
            <w:r>
              <w:t>No</w:t>
            </w:r>
          </w:p>
        </w:tc>
      </w:tr>
      <w:tr w:rsidR="004500A7" w:rsidRPr="00740367" w14:paraId="330A2B6A" w14:textId="77777777" w:rsidTr="00085BC5">
        <w:trPr>
          <w:jc w:val="center"/>
        </w:trPr>
        <w:tc>
          <w:tcPr>
            <w:tcW w:w="2023" w:type="dxa"/>
          </w:tcPr>
          <w:p w14:paraId="25A8239C" w14:textId="77777777" w:rsidR="004500A7" w:rsidRDefault="004500A7" w:rsidP="00B726BA">
            <w:pPr>
              <w:jc w:val="center"/>
              <w:rPr>
                <w:color w:val="000000" w:themeColor="text1"/>
              </w:rPr>
            </w:pPr>
            <w:r>
              <w:rPr>
                <w:color w:val="000000" w:themeColor="text1"/>
              </w:rPr>
              <w:t>Attendance Officer</w:t>
            </w:r>
          </w:p>
        </w:tc>
        <w:tc>
          <w:tcPr>
            <w:tcW w:w="1357" w:type="dxa"/>
          </w:tcPr>
          <w:p w14:paraId="3E6AEE37" w14:textId="77777777" w:rsidR="004500A7" w:rsidRDefault="008A3C8E" w:rsidP="00CA03C5">
            <w:pPr>
              <w:jc w:val="center"/>
              <w:rPr>
                <w:rFonts w:ascii="Calibri" w:hAnsi="Calibri"/>
                <w:color w:val="000000" w:themeColor="text1"/>
                <w:shd w:val="clear" w:color="auto" w:fill="FFFFFF"/>
              </w:rPr>
            </w:pPr>
            <w:r>
              <w:rPr>
                <w:rFonts w:ascii="Calibri" w:hAnsi="Calibri"/>
                <w:color w:val="000000" w:themeColor="text1"/>
                <w:shd w:val="clear" w:color="auto" w:fill="FFFFFF"/>
              </w:rPr>
              <w:t xml:space="preserve">£12,000 </w:t>
            </w:r>
          </w:p>
        </w:tc>
        <w:tc>
          <w:tcPr>
            <w:tcW w:w="1405" w:type="dxa"/>
          </w:tcPr>
          <w:p w14:paraId="274185F4" w14:textId="77777777" w:rsidR="004500A7" w:rsidRDefault="008A3C8E" w:rsidP="00B726BA">
            <w:pPr>
              <w:jc w:val="center"/>
              <w:rPr>
                <w:color w:val="000000" w:themeColor="text1"/>
              </w:rPr>
            </w:pPr>
            <w:r>
              <w:rPr>
                <w:color w:val="000000" w:themeColor="text1"/>
              </w:rPr>
              <w:t>3/4</w:t>
            </w:r>
          </w:p>
        </w:tc>
        <w:tc>
          <w:tcPr>
            <w:tcW w:w="8868" w:type="dxa"/>
          </w:tcPr>
          <w:p w14:paraId="17BCB08B" w14:textId="254B7471" w:rsidR="004500A7" w:rsidRPr="00DA3E3F" w:rsidRDefault="00CA03C5" w:rsidP="00C96CF2">
            <w:pPr>
              <w:jc w:val="both"/>
            </w:pPr>
            <w:r w:rsidRPr="00952F94">
              <w:t xml:space="preserve">The attendance officer is responsible for monitoring attendance, liaising with House Leaders and providing interventions for individual students and groups to improve their attendance.  In 2018-19 whole school attendance was 95.43%, PP 94.32, NPP 96%.  In 2017-18 whole school attendance was 94.9%, PP 93.36, NPP 95.93.  The gap has therefore </w:t>
            </w:r>
            <w:r w:rsidR="00C96CF2">
              <w:t>narrowed</w:t>
            </w:r>
            <w:r w:rsidRPr="00952F94">
              <w:t xml:space="preserve"> from 2.57 in 2017-18 to 1.68 in 2018-19.</w:t>
            </w:r>
          </w:p>
        </w:tc>
        <w:tc>
          <w:tcPr>
            <w:tcW w:w="1231" w:type="dxa"/>
          </w:tcPr>
          <w:p w14:paraId="3CCD823D" w14:textId="77777777" w:rsidR="004500A7" w:rsidRDefault="00CA03C5" w:rsidP="00B726BA">
            <w:pPr>
              <w:jc w:val="center"/>
            </w:pPr>
            <w:r>
              <w:t>Yes</w:t>
            </w:r>
          </w:p>
        </w:tc>
      </w:tr>
      <w:tr w:rsidR="001A5434" w:rsidRPr="00740367" w14:paraId="47B4664C" w14:textId="77777777" w:rsidTr="0038281D">
        <w:trPr>
          <w:jc w:val="center"/>
        </w:trPr>
        <w:tc>
          <w:tcPr>
            <w:tcW w:w="2023" w:type="dxa"/>
            <w:shd w:val="clear" w:color="auto" w:fill="auto"/>
          </w:tcPr>
          <w:p w14:paraId="28303F66" w14:textId="77777777" w:rsidR="001A5434" w:rsidRDefault="001A5434" w:rsidP="00B726BA">
            <w:pPr>
              <w:jc w:val="center"/>
              <w:rPr>
                <w:color w:val="000000" w:themeColor="text1"/>
              </w:rPr>
            </w:pPr>
            <w:r>
              <w:rPr>
                <w:color w:val="000000" w:themeColor="text1"/>
              </w:rPr>
              <w:t>Assistant Headteacher</w:t>
            </w:r>
            <w:r w:rsidR="00BB5EAC">
              <w:rPr>
                <w:color w:val="000000" w:themeColor="text1"/>
              </w:rPr>
              <w:t>s</w:t>
            </w:r>
          </w:p>
        </w:tc>
        <w:tc>
          <w:tcPr>
            <w:tcW w:w="1357" w:type="dxa"/>
            <w:shd w:val="clear" w:color="auto" w:fill="auto"/>
          </w:tcPr>
          <w:p w14:paraId="5DFD073E" w14:textId="77777777" w:rsidR="001A5434" w:rsidRDefault="00870D95" w:rsidP="00B726BA">
            <w:pPr>
              <w:jc w:val="center"/>
              <w:rPr>
                <w:rFonts w:ascii="Calibri" w:hAnsi="Calibri"/>
                <w:color w:val="000000" w:themeColor="text1"/>
                <w:shd w:val="clear" w:color="auto" w:fill="FFFFFF"/>
              </w:rPr>
            </w:pPr>
            <w:r>
              <w:rPr>
                <w:rFonts w:ascii="Calibri" w:hAnsi="Calibri"/>
                <w:color w:val="000000" w:themeColor="text1"/>
                <w:shd w:val="clear" w:color="auto" w:fill="FFFFFF"/>
              </w:rPr>
              <w:t>£22,968</w:t>
            </w:r>
          </w:p>
        </w:tc>
        <w:tc>
          <w:tcPr>
            <w:tcW w:w="1405" w:type="dxa"/>
            <w:shd w:val="clear" w:color="auto" w:fill="auto"/>
          </w:tcPr>
          <w:p w14:paraId="4F0BB189" w14:textId="77777777" w:rsidR="001A5434" w:rsidRDefault="001A5434" w:rsidP="00B726BA">
            <w:pPr>
              <w:jc w:val="center"/>
              <w:rPr>
                <w:color w:val="000000" w:themeColor="text1"/>
              </w:rPr>
            </w:pPr>
            <w:r>
              <w:rPr>
                <w:color w:val="000000" w:themeColor="text1"/>
              </w:rPr>
              <w:t>3/4</w:t>
            </w:r>
          </w:p>
        </w:tc>
        <w:tc>
          <w:tcPr>
            <w:tcW w:w="8868" w:type="dxa"/>
            <w:shd w:val="clear" w:color="auto" w:fill="auto"/>
          </w:tcPr>
          <w:p w14:paraId="0EA6B0B6" w14:textId="35DECA9A" w:rsidR="001A5434" w:rsidRPr="0038281D" w:rsidRDefault="001A5434" w:rsidP="0038281D">
            <w:pPr>
              <w:jc w:val="both"/>
              <w:rPr>
                <w:highlight w:val="yellow"/>
              </w:rPr>
            </w:pPr>
            <w:r w:rsidRPr="00620449">
              <w:t>Assistant Headteacher</w:t>
            </w:r>
            <w:r w:rsidR="00BB5EAC" w:rsidRPr="00620449">
              <w:t xml:space="preserve">s (x2) responsible for Attendance, </w:t>
            </w:r>
            <w:r w:rsidRPr="00620449">
              <w:t>Behaviour &amp; Pupil Premium ensure that PP is a regular item on the whole school agenda</w:t>
            </w:r>
            <w:r w:rsidR="00BB5EAC" w:rsidRPr="00620449">
              <w:t xml:space="preserve"> </w:t>
            </w:r>
            <w:r w:rsidRPr="00620449">
              <w:t>at SLT meetings and take overall responsibility to ensure interventions and strategies to improve outcomes for PP students are trialled and monitored across the school.</w:t>
            </w:r>
            <w:r w:rsidR="00C96CF2" w:rsidRPr="00620449">
              <w:t xml:space="preserve">  The gap for PP v NPP attendance has narrowed from 2.57 in 2017-18 to 1.68 in 2018-19.  </w:t>
            </w:r>
            <w:r w:rsidR="006C7DBD" w:rsidRPr="00620449">
              <w:t>PP referrals to REMOVE were more than halved during the course of 2018-In 2018-19, the PP v NPP gap for Progress 8 has narrowed from 0.498 in 2017-18 to 0.362 in 2018-19.  I</w:t>
            </w:r>
            <w:r w:rsidR="0038281D" w:rsidRPr="00620449">
              <w:t>n 2019 the EEF published a Guide to the Pupil Premium which recommends that schools focus a large amount of their PP spend on teaching.  We have therefore moved responsibility for PP to the Deputy Headteacher for Teaching &amp; Learning and so the contribution to these Assistant Headteacher salaries will not continue in 2019-20.</w:t>
            </w:r>
          </w:p>
        </w:tc>
        <w:tc>
          <w:tcPr>
            <w:tcW w:w="1231" w:type="dxa"/>
            <w:shd w:val="clear" w:color="auto" w:fill="auto"/>
          </w:tcPr>
          <w:p w14:paraId="2BD5E4B9" w14:textId="6A734280" w:rsidR="001A5434" w:rsidRDefault="0038281D" w:rsidP="00B726BA">
            <w:pPr>
              <w:jc w:val="center"/>
            </w:pPr>
            <w:r>
              <w:t>No</w:t>
            </w:r>
          </w:p>
        </w:tc>
      </w:tr>
      <w:tr w:rsidR="001A5434" w:rsidRPr="00740367" w14:paraId="0DE3A714" w14:textId="77777777" w:rsidTr="00085BC5">
        <w:trPr>
          <w:jc w:val="center"/>
        </w:trPr>
        <w:tc>
          <w:tcPr>
            <w:tcW w:w="2023" w:type="dxa"/>
          </w:tcPr>
          <w:p w14:paraId="6EC54A52" w14:textId="77777777" w:rsidR="001A5434" w:rsidRDefault="001A5434" w:rsidP="00B726BA">
            <w:pPr>
              <w:jc w:val="center"/>
              <w:rPr>
                <w:color w:val="000000" w:themeColor="text1"/>
              </w:rPr>
            </w:pPr>
            <w:r>
              <w:rPr>
                <w:color w:val="000000" w:themeColor="text1"/>
              </w:rPr>
              <w:lastRenderedPageBreak/>
              <w:t>PP Lead</w:t>
            </w:r>
          </w:p>
        </w:tc>
        <w:tc>
          <w:tcPr>
            <w:tcW w:w="1357" w:type="dxa"/>
          </w:tcPr>
          <w:p w14:paraId="21C12E64" w14:textId="77777777" w:rsidR="001A5434" w:rsidRDefault="00BB5EAC" w:rsidP="00B726BA">
            <w:pPr>
              <w:jc w:val="center"/>
              <w:rPr>
                <w:rFonts w:ascii="Calibri" w:hAnsi="Calibri"/>
                <w:color w:val="000000" w:themeColor="text1"/>
                <w:shd w:val="clear" w:color="auto" w:fill="FFFFFF"/>
              </w:rPr>
            </w:pPr>
            <w:r>
              <w:rPr>
                <w:rFonts w:ascii="Calibri" w:hAnsi="Calibri"/>
                <w:color w:val="000000" w:themeColor="text1"/>
                <w:shd w:val="clear" w:color="auto" w:fill="FFFFFF"/>
              </w:rPr>
              <w:t>£5,988</w:t>
            </w:r>
          </w:p>
        </w:tc>
        <w:tc>
          <w:tcPr>
            <w:tcW w:w="1405" w:type="dxa"/>
          </w:tcPr>
          <w:p w14:paraId="0B1D7CE3" w14:textId="77777777" w:rsidR="001A5434" w:rsidRDefault="00BB5EAC" w:rsidP="00B726BA">
            <w:pPr>
              <w:jc w:val="center"/>
              <w:rPr>
                <w:color w:val="000000" w:themeColor="text1"/>
              </w:rPr>
            </w:pPr>
            <w:r>
              <w:rPr>
                <w:color w:val="000000" w:themeColor="text1"/>
              </w:rPr>
              <w:t>3/4</w:t>
            </w:r>
          </w:p>
        </w:tc>
        <w:tc>
          <w:tcPr>
            <w:tcW w:w="8868" w:type="dxa"/>
          </w:tcPr>
          <w:p w14:paraId="054CB9AE" w14:textId="45E707E6" w:rsidR="001A5434" w:rsidRPr="00620449" w:rsidRDefault="00BB5EAC" w:rsidP="009D4EF3">
            <w:pPr>
              <w:jc w:val="both"/>
            </w:pPr>
            <w:r w:rsidRPr="00620449">
              <w:t>Line manages PP Learning Mentor, leads on PP strategy and information presenting to whole staff and Governors where appropriate.  Also liaises with other staff in school to raise awareness/standards/expectations and aspirations of PP students.</w:t>
            </w:r>
            <w:r w:rsidR="009D4EF3" w:rsidRPr="00620449">
              <w:t xml:space="preserve">  This role began in September 2017 and after the Summer 2017 results, where the Progress 8 gap for PP v NPP students was 0.791.  In Summer 2018 this gap narrowed to 0.498 and in September 2019 the gap has further narrowed to 0.362.</w:t>
            </w:r>
          </w:p>
        </w:tc>
        <w:tc>
          <w:tcPr>
            <w:tcW w:w="1231" w:type="dxa"/>
          </w:tcPr>
          <w:p w14:paraId="6B7BF7F0" w14:textId="77777777" w:rsidR="001A5434" w:rsidRDefault="00BB5EAC" w:rsidP="00B726BA">
            <w:pPr>
              <w:jc w:val="center"/>
            </w:pPr>
            <w:r>
              <w:t>Yes</w:t>
            </w:r>
          </w:p>
        </w:tc>
      </w:tr>
      <w:tr w:rsidR="00BB5EAC" w:rsidRPr="00740367" w14:paraId="534FFD18" w14:textId="77777777" w:rsidTr="00085BC5">
        <w:trPr>
          <w:jc w:val="center"/>
        </w:trPr>
        <w:tc>
          <w:tcPr>
            <w:tcW w:w="2023" w:type="dxa"/>
            <w:vAlign w:val="center"/>
          </w:tcPr>
          <w:p w14:paraId="718D6B87"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PP Core Leads</w:t>
            </w:r>
          </w:p>
        </w:tc>
        <w:tc>
          <w:tcPr>
            <w:tcW w:w="1357" w:type="dxa"/>
            <w:vAlign w:val="center"/>
          </w:tcPr>
          <w:p w14:paraId="5962FBE6" w14:textId="77777777" w:rsidR="00BB5EAC" w:rsidRPr="00BB5EAC" w:rsidRDefault="00BB5EAC" w:rsidP="00BB5EAC">
            <w:pPr>
              <w:ind w:right="28"/>
              <w:jc w:val="center"/>
              <w:rPr>
                <w:rFonts w:eastAsia="Arial" w:cs="Arial"/>
              </w:rPr>
            </w:pPr>
            <w:r w:rsidRPr="00BB5EAC">
              <w:rPr>
                <w:rFonts w:eastAsia="Arial" w:cs="Arial"/>
              </w:rPr>
              <w:t>£3432</w:t>
            </w:r>
          </w:p>
        </w:tc>
        <w:tc>
          <w:tcPr>
            <w:tcW w:w="1405" w:type="dxa"/>
            <w:vAlign w:val="center"/>
          </w:tcPr>
          <w:p w14:paraId="45668916" w14:textId="77777777" w:rsidR="00BB5EAC" w:rsidRPr="00BB5EAC" w:rsidRDefault="00085BC5" w:rsidP="00BB5EAC">
            <w:pPr>
              <w:ind w:left="94"/>
              <w:jc w:val="center"/>
              <w:rPr>
                <w:rFonts w:eastAsia="Arial" w:cs="Arial"/>
              </w:rPr>
            </w:pPr>
            <w:r>
              <w:rPr>
                <w:rFonts w:eastAsia="Arial" w:cs="Arial"/>
              </w:rPr>
              <w:t>3/4</w:t>
            </w:r>
          </w:p>
        </w:tc>
        <w:tc>
          <w:tcPr>
            <w:tcW w:w="8868" w:type="dxa"/>
            <w:vAlign w:val="center"/>
          </w:tcPr>
          <w:p w14:paraId="09A5E55D" w14:textId="4FAC58F4" w:rsidR="00BB5EAC" w:rsidRPr="00620449" w:rsidRDefault="00BB5EAC" w:rsidP="0066335C">
            <w:pPr>
              <w:rPr>
                <w:rFonts w:eastAsia="Arial" w:cs="Arial"/>
              </w:rPr>
            </w:pPr>
            <w:r w:rsidRPr="00620449">
              <w:rPr>
                <w:rFonts w:eastAsia="Arial" w:cs="Arial"/>
              </w:rPr>
              <w:t>PP core leads have been invaluable in providing specialist subject support for PP students and the learning mentor.  Bespoke resources have b</w:t>
            </w:r>
            <w:r w:rsidR="008C21D2" w:rsidRPr="00620449">
              <w:rPr>
                <w:rFonts w:eastAsia="Arial" w:cs="Arial"/>
              </w:rPr>
              <w:t xml:space="preserve">een created for students to use independently, during after school sessions and </w:t>
            </w:r>
            <w:r w:rsidRPr="00620449">
              <w:rPr>
                <w:rFonts w:eastAsia="Arial" w:cs="Arial"/>
              </w:rPr>
              <w:t>with their mentor during intervention sessions.</w:t>
            </w:r>
            <w:r w:rsidR="009D4EF3" w:rsidRPr="00620449">
              <w:rPr>
                <w:rFonts w:eastAsia="Arial" w:cs="Arial"/>
              </w:rPr>
              <w:t xml:space="preserve">  In Maths the Progress 8 gap for PP v NPP students narrowed from 0.634 in 2017-18 to 0.250 in 2019-20.  In English the Progress 8 gap for PP v NPP students narrowed from </w:t>
            </w:r>
            <w:r w:rsidR="00150E61" w:rsidRPr="00620449">
              <w:rPr>
                <w:rFonts w:eastAsia="Arial" w:cs="Arial"/>
              </w:rPr>
              <w:t>0.422 in 2017-18 to 0.122 in 2019-20.</w:t>
            </w:r>
            <w:r w:rsidR="008C21D2" w:rsidRPr="00620449">
              <w:rPr>
                <w:rFonts w:eastAsia="Arial" w:cs="Arial"/>
              </w:rPr>
              <w:t xml:space="preserve"> </w:t>
            </w:r>
          </w:p>
        </w:tc>
        <w:tc>
          <w:tcPr>
            <w:tcW w:w="1231" w:type="dxa"/>
          </w:tcPr>
          <w:p w14:paraId="3C5CE87E" w14:textId="77777777" w:rsidR="00BB5EAC" w:rsidRPr="00BB5EAC" w:rsidRDefault="00085BC5" w:rsidP="00BB5EAC">
            <w:pPr>
              <w:jc w:val="center"/>
            </w:pPr>
            <w:r>
              <w:t>Yes</w:t>
            </w:r>
          </w:p>
        </w:tc>
      </w:tr>
      <w:tr w:rsidR="00D46860" w:rsidRPr="00740367" w14:paraId="7A16A523" w14:textId="77777777" w:rsidTr="00B61D56">
        <w:trPr>
          <w:jc w:val="center"/>
        </w:trPr>
        <w:tc>
          <w:tcPr>
            <w:tcW w:w="2023" w:type="dxa"/>
            <w:shd w:val="clear" w:color="auto" w:fill="auto"/>
            <w:vAlign w:val="center"/>
          </w:tcPr>
          <w:p w14:paraId="3EAD5AF5" w14:textId="77777777" w:rsidR="00D46860" w:rsidRPr="00BB5EAC" w:rsidRDefault="00B61D56" w:rsidP="00BB5EAC">
            <w:pPr>
              <w:spacing w:after="7"/>
              <w:ind w:right="31"/>
              <w:jc w:val="center"/>
              <w:rPr>
                <w:rFonts w:eastAsia="Arial" w:cs="Arial"/>
                <w:color w:val="3F3F3F"/>
              </w:rPr>
            </w:pPr>
            <w:r>
              <w:rPr>
                <w:rFonts w:eastAsia="Arial" w:cs="Arial"/>
                <w:color w:val="3F3F3F"/>
              </w:rPr>
              <w:t xml:space="preserve">Contribution to </w:t>
            </w:r>
            <w:r w:rsidR="00D46860">
              <w:rPr>
                <w:rFonts w:eastAsia="Arial" w:cs="Arial"/>
                <w:color w:val="3F3F3F"/>
              </w:rPr>
              <w:t>Lead Practitioner (English)</w:t>
            </w:r>
            <w:r>
              <w:rPr>
                <w:rFonts w:eastAsia="Arial" w:cs="Arial"/>
                <w:color w:val="3F3F3F"/>
              </w:rPr>
              <w:t xml:space="preserve"> &amp; T&amp;L Lead (Maths)</w:t>
            </w:r>
          </w:p>
        </w:tc>
        <w:tc>
          <w:tcPr>
            <w:tcW w:w="1357" w:type="dxa"/>
            <w:shd w:val="clear" w:color="auto" w:fill="auto"/>
            <w:vAlign w:val="center"/>
          </w:tcPr>
          <w:p w14:paraId="1B874FA9" w14:textId="77777777" w:rsidR="00D46860" w:rsidRPr="00BB5EAC" w:rsidRDefault="00D46860" w:rsidP="00B61D56">
            <w:pPr>
              <w:ind w:right="28"/>
              <w:jc w:val="center"/>
              <w:rPr>
                <w:rFonts w:eastAsia="Arial" w:cs="Arial"/>
              </w:rPr>
            </w:pPr>
            <w:r>
              <w:rPr>
                <w:rFonts w:eastAsia="Arial" w:cs="Arial"/>
              </w:rPr>
              <w:t>£</w:t>
            </w:r>
            <w:r w:rsidR="00B61D56">
              <w:rPr>
                <w:rFonts w:eastAsia="Arial" w:cs="Arial"/>
              </w:rPr>
              <w:t>30,000</w:t>
            </w:r>
          </w:p>
        </w:tc>
        <w:tc>
          <w:tcPr>
            <w:tcW w:w="1405" w:type="dxa"/>
            <w:shd w:val="clear" w:color="auto" w:fill="auto"/>
            <w:vAlign w:val="center"/>
          </w:tcPr>
          <w:p w14:paraId="3107B407" w14:textId="77777777" w:rsidR="00D46860" w:rsidRDefault="00D46860" w:rsidP="00BB5EAC">
            <w:pPr>
              <w:ind w:left="94"/>
              <w:jc w:val="center"/>
              <w:rPr>
                <w:rFonts w:eastAsia="Arial" w:cs="Arial"/>
              </w:rPr>
            </w:pPr>
            <w:r>
              <w:rPr>
                <w:rFonts w:eastAsia="Arial" w:cs="Arial"/>
              </w:rPr>
              <w:t>3/4</w:t>
            </w:r>
          </w:p>
        </w:tc>
        <w:tc>
          <w:tcPr>
            <w:tcW w:w="8868" w:type="dxa"/>
            <w:shd w:val="clear" w:color="auto" w:fill="auto"/>
            <w:vAlign w:val="center"/>
          </w:tcPr>
          <w:p w14:paraId="0F923BC6" w14:textId="3A67DCC2" w:rsidR="00D46860" w:rsidRPr="00620449" w:rsidRDefault="00B61D56" w:rsidP="00A65F24">
            <w:pPr>
              <w:rPr>
                <w:rFonts w:eastAsia="Arial" w:cs="Arial"/>
              </w:rPr>
            </w:pPr>
            <w:r w:rsidRPr="00620449">
              <w:rPr>
                <w:rFonts w:eastAsia="Arial" w:cs="Arial"/>
              </w:rPr>
              <w:t>We have a LP (English) and a TLR holder for T&amp;L within Maths.  These staff are responsible for training new staff, leading whole school INSET, creating resources and sharing ideas within their departments to improve T&amp;L for all.</w:t>
            </w:r>
            <w:r w:rsidR="00E12353" w:rsidRPr="00620449">
              <w:rPr>
                <w:rFonts w:eastAsia="Arial" w:cs="Arial"/>
              </w:rPr>
              <w:t xml:space="preserve">  L</w:t>
            </w:r>
            <w:r w:rsidR="00AB533F" w:rsidRPr="00620449">
              <w:rPr>
                <w:rFonts w:eastAsia="Arial" w:cs="Arial"/>
              </w:rPr>
              <w:t>ast year</w:t>
            </w:r>
            <w:r w:rsidR="00A65F24" w:rsidRPr="00620449">
              <w:rPr>
                <w:rFonts w:eastAsia="Arial" w:cs="Arial"/>
              </w:rPr>
              <w:t xml:space="preserve"> the average Progress 8 for English was -0.570, NPP -0.532, PP -0.654.  In 2017-18 the P8 measure for English was -0.432, NPP -0.289, PP -0.711.  The gap in English has therefore narrowed from 0.422 in 2017-18 to 0.122 in 2018-19.  In 2018-19 the average P8 for Maths was 0.051, NPP 0.129, PP -0.121.  In 2017-18</w:t>
            </w:r>
            <w:r w:rsidR="00AB533F" w:rsidRPr="00620449">
              <w:rPr>
                <w:rFonts w:eastAsia="Arial" w:cs="Arial"/>
              </w:rPr>
              <w:t xml:space="preserve"> </w:t>
            </w:r>
            <w:r w:rsidR="00A65F24" w:rsidRPr="00620449">
              <w:rPr>
                <w:rFonts w:eastAsia="Arial" w:cs="Arial"/>
              </w:rPr>
              <w:t>the average P8 for Maths was -0.285, NPP -0.070, PP -0.704.  The gap in Maths has therefore narrowed from 0.634 in 2017-18 to 0.250 in 2018-19.</w:t>
            </w:r>
          </w:p>
        </w:tc>
        <w:tc>
          <w:tcPr>
            <w:tcW w:w="1231" w:type="dxa"/>
            <w:shd w:val="clear" w:color="auto" w:fill="auto"/>
          </w:tcPr>
          <w:p w14:paraId="780BDC7D" w14:textId="77777777" w:rsidR="00D46860" w:rsidRDefault="00E12353" w:rsidP="00BB5EAC">
            <w:pPr>
              <w:jc w:val="center"/>
            </w:pPr>
            <w:r>
              <w:t>Yes</w:t>
            </w:r>
          </w:p>
        </w:tc>
      </w:tr>
      <w:tr w:rsidR="00BB5EAC" w:rsidRPr="00740367" w14:paraId="6A8A8EA9" w14:textId="77777777" w:rsidTr="00903001">
        <w:trPr>
          <w:jc w:val="center"/>
        </w:trPr>
        <w:tc>
          <w:tcPr>
            <w:tcW w:w="2023" w:type="dxa"/>
            <w:vAlign w:val="center"/>
          </w:tcPr>
          <w:p w14:paraId="51CA2820"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Library, Breakfast club, after school provision &amp; homework club</w:t>
            </w:r>
          </w:p>
        </w:tc>
        <w:tc>
          <w:tcPr>
            <w:tcW w:w="1357" w:type="dxa"/>
            <w:vAlign w:val="center"/>
          </w:tcPr>
          <w:p w14:paraId="53722991" w14:textId="77777777" w:rsidR="00BB5EAC" w:rsidRPr="00BB5EAC" w:rsidRDefault="00BB5EAC" w:rsidP="00BB5EAC">
            <w:pPr>
              <w:ind w:right="28"/>
              <w:jc w:val="center"/>
              <w:rPr>
                <w:rFonts w:eastAsia="Arial" w:cs="Arial"/>
              </w:rPr>
            </w:pPr>
            <w:r w:rsidRPr="00BB5EAC">
              <w:rPr>
                <w:rFonts w:eastAsia="Arial" w:cs="Arial"/>
              </w:rPr>
              <w:t>£26,626</w:t>
            </w:r>
          </w:p>
        </w:tc>
        <w:tc>
          <w:tcPr>
            <w:tcW w:w="1405" w:type="dxa"/>
            <w:vAlign w:val="center"/>
          </w:tcPr>
          <w:p w14:paraId="5DB186A0" w14:textId="77777777" w:rsidR="00BB5EAC" w:rsidRPr="00BB5EAC" w:rsidRDefault="00085BC5" w:rsidP="00BB5EAC">
            <w:pPr>
              <w:ind w:left="94"/>
              <w:jc w:val="center"/>
              <w:rPr>
                <w:rFonts w:eastAsia="Arial" w:cs="Arial"/>
              </w:rPr>
            </w:pPr>
            <w:r>
              <w:rPr>
                <w:rFonts w:eastAsia="Arial" w:cs="Arial"/>
              </w:rPr>
              <w:t>3/4</w:t>
            </w:r>
          </w:p>
        </w:tc>
        <w:tc>
          <w:tcPr>
            <w:tcW w:w="8868" w:type="dxa"/>
          </w:tcPr>
          <w:p w14:paraId="7E8697FD" w14:textId="10AA1A46" w:rsidR="00BB5EAC" w:rsidRPr="00620449" w:rsidRDefault="0066335C" w:rsidP="00B121DC">
            <w:pPr>
              <w:rPr>
                <w:rFonts w:eastAsia="Arial" w:cs="Arial"/>
              </w:rPr>
            </w:pPr>
            <w:r w:rsidRPr="00620449">
              <w:rPr>
                <w:rFonts w:eastAsia="Arial" w:cs="Arial"/>
              </w:rPr>
              <w:t xml:space="preserve">The library, </w:t>
            </w:r>
            <w:r w:rsidR="00BB5EAC" w:rsidRPr="00620449">
              <w:rPr>
                <w:rFonts w:eastAsia="Arial" w:cs="Arial"/>
              </w:rPr>
              <w:t>breakfast club, after school provision and homework club were attended regularly and allow PP students a place and resources to work.</w:t>
            </w:r>
            <w:r w:rsidR="00E93B37" w:rsidRPr="00620449">
              <w:rPr>
                <w:rFonts w:eastAsia="Arial" w:cs="Arial"/>
              </w:rPr>
              <w:t xml:space="preserve">  The library opened in 2018-19 and so there is no information for 2017-18.  However, in 2018-19 </w:t>
            </w:r>
            <w:r w:rsidR="00BA2032" w:rsidRPr="00620449">
              <w:rPr>
                <w:rFonts w:eastAsia="Arial" w:cs="Arial"/>
              </w:rPr>
              <w:t>there were 4,760 books loaned from the library across all year groups.  100% of Y7 students borrowed books on a regular basis.  A number of students use the library resources at break and lunch.  On a typical day there will be 40-45 students in the library at these times but this number does rise to 70 students on busier days.</w:t>
            </w:r>
            <w:r w:rsidR="00C921C4" w:rsidRPr="00620449">
              <w:rPr>
                <w:rFonts w:eastAsia="Arial" w:cs="Arial"/>
              </w:rPr>
              <w:t xml:space="preserve">  </w:t>
            </w:r>
            <w:r w:rsidR="00220B4C" w:rsidRPr="00620449">
              <w:rPr>
                <w:rFonts w:eastAsia="Arial" w:cs="Arial"/>
              </w:rPr>
              <w:t>The breakfast club provision allows all students to have access to a free breakfast plus a space to stay warm and dry or complete work before the start of the</w:t>
            </w:r>
            <w:r w:rsidR="00773AB4" w:rsidRPr="00620449">
              <w:rPr>
                <w:rFonts w:eastAsia="Arial" w:cs="Arial"/>
              </w:rPr>
              <w:t xml:space="preserve"> school day</w:t>
            </w:r>
            <w:r w:rsidR="00B121DC" w:rsidRPr="00620449">
              <w:rPr>
                <w:rFonts w:eastAsia="Arial" w:cs="Arial"/>
              </w:rPr>
              <w:t>.  On a typical day there will be 70 students attending breakfast club with 80% of these being PP students</w:t>
            </w:r>
            <w:r w:rsidR="00773AB4" w:rsidRPr="00620449">
              <w:rPr>
                <w:rFonts w:eastAsia="Arial" w:cs="Arial"/>
              </w:rPr>
              <w:t>.  I</w:t>
            </w:r>
            <w:r w:rsidR="00D062DD" w:rsidRPr="00620449">
              <w:rPr>
                <w:rFonts w:eastAsia="Arial" w:cs="Arial"/>
              </w:rPr>
              <w:t>n 2018-19 on a typical night</w:t>
            </w:r>
            <w:r w:rsidR="00B121DC" w:rsidRPr="00620449">
              <w:rPr>
                <w:rFonts w:eastAsia="Arial" w:cs="Arial"/>
              </w:rPr>
              <w:t xml:space="preserve"> there were 10 students who would attend homework club in the library, with 40% of these being </w:t>
            </w:r>
            <w:r w:rsidR="00D062DD" w:rsidRPr="00620449">
              <w:rPr>
                <w:rFonts w:eastAsia="Arial" w:cs="Arial"/>
              </w:rPr>
              <w:t>PP students</w:t>
            </w:r>
            <w:r w:rsidR="00773AB4" w:rsidRPr="00620449">
              <w:rPr>
                <w:rFonts w:eastAsia="Arial" w:cs="Arial"/>
              </w:rPr>
              <w:t>.</w:t>
            </w:r>
            <w:r w:rsidR="00B121DC" w:rsidRPr="00620449">
              <w:rPr>
                <w:rFonts w:eastAsia="Arial" w:cs="Arial"/>
              </w:rPr>
              <w:t xml:space="preserve">  Attending P6 activities (intervention provided by subject specialists) after school on a typical night there are 20 students, of which 25% are PP.</w:t>
            </w:r>
            <w:r w:rsidR="00773AB4" w:rsidRPr="00620449">
              <w:rPr>
                <w:rFonts w:eastAsia="Arial" w:cs="Arial"/>
              </w:rPr>
              <w:t xml:space="preserve">  </w:t>
            </w:r>
            <w:r w:rsidR="00C921C4" w:rsidRPr="00620449">
              <w:rPr>
                <w:rFonts w:eastAsia="Arial" w:cs="Arial"/>
              </w:rPr>
              <w:t>We recognise as a school that our tracking of student use in these areas is not as robust as we would like and therefore we are investing in the ‘SIMS Activities’ package for 2019-20 to enable greater tracking and analysis moving forwards.</w:t>
            </w:r>
          </w:p>
        </w:tc>
        <w:tc>
          <w:tcPr>
            <w:tcW w:w="1231" w:type="dxa"/>
          </w:tcPr>
          <w:p w14:paraId="0C81CC62" w14:textId="77777777" w:rsidR="00085BC5" w:rsidRPr="00BB5EAC" w:rsidRDefault="00085BC5" w:rsidP="00085BC5">
            <w:pPr>
              <w:jc w:val="center"/>
            </w:pPr>
            <w:r>
              <w:t>Yes</w:t>
            </w:r>
          </w:p>
        </w:tc>
      </w:tr>
      <w:tr w:rsidR="00BB5EAC" w:rsidRPr="00740367" w14:paraId="10DCB133" w14:textId="77777777" w:rsidTr="00085BC5">
        <w:trPr>
          <w:jc w:val="center"/>
        </w:trPr>
        <w:tc>
          <w:tcPr>
            <w:tcW w:w="2023" w:type="dxa"/>
            <w:vAlign w:val="center"/>
          </w:tcPr>
          <w:p w14:paraId="608FD909"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Achievement for All Programme</w:t>
            </w:r>
          </w:p>
        </w:tc>
        <w:tc>
          <w:tcPr>
            <w:tcW w:w="1357" w:type="dxa"/>
            <w:vAlign w:val="center"/>
          </w:tcPr>
          <w:p w14:paraId="098620D7" w14:textId="77777777" w:rsidR="00BB5EAC" w:rsidRPr="00BB5EAC" w:rsidRDefault="00BB5EAC" w:rsidP="00BB5EAC">
            <w:pPr>
              <w:ind w:right="28"/>
              <w:jc w:val="center"/>
              <w:rPr>
                <w:rFonts w:eastAsia="Arial" w:cs="Arial"/>
              </w:rPr>
            </w:pPr>
            <w:r w:rsidRPr="00BB5EAC">
              <w:rPr>
                <w:rFonts w:eastAsia="Arial" w:cs="Arial"/>
              </w:rPr>
              <w:t>£3,450</w:t>
            </w:r>
          </w:p>
        </w:tc>
        <w:tc>
          <w:tcPr>
            <w:tcW w:w="1405" w:type="dxa"/>
            <w:vAlign w:val="center"/>
          </w:tcPr>
          <w:p w14:paraId="79A6812A" w14:textId="77777777" w:rsidR="00BB5EAC" w:rsidRPr="00BB5EAC" w:rsidRDefault="00085BC5" w:rsidP="00BB5EAC">
            <w:pPr>
              <w:ind w:left="94"/>
              <w:jc w:val="center"/>
              <w:rPr>
                <w:rFonts w:eastAsia="Arial" w:cs="Arial"/>
              </w:rPr>
            </w:pPr>
            <w:r>
              <w:rPr>
                <w:rFonts w:eastAsia="Arial" w:cs="Arial"/>
              </w:rPr>
              <w:t>3/4</w:t>
            </w:r>
          </w:p>
        </w:tc>
        <w:tc>
          <w:tcPr>
            <w:tcW w:w="8868" w:type="dxa"/>
            <w:vAlign w:val="center"/>
          </w:tcPr>
          <w:p w14:paraId="03B616C8" w14:textId="77777777" w:rsidR="00BB5EAC" w:rsidRPr="00BB5EAC" w:rsidRDefault="0066335C" w:rsidP="0066335C">
            <w:pPr>
              <w:rPr>
                <w:rFonts w:eastAsia="Arial" w:cs="Arial"/>
              </w:rPr>
            </w:pPr>
            <w:r>
              <w:rPr>
                <w:rFonts w:eastAsia="Arial" w:cs="Arial"/>
              </w:rPr>
              <w:t xml:space="preserve">This was a 2-year programme which provided </w:t>
            </w:r>
            <w:r w:rsidR="00BB5EAC" w:rsidRPr="00BB5EAC">
              <w:rPr>
                <w:rFonts w:eastAsia="Arial" w:cs="Arial"/>
              </w:rPr>
              <w:t xml:space="preserve">staff training sessions and </w:t>
            </w:r>
            <w:r>
              <w:rPr>
                <w:rFonts w:eastAsia="Arial" w:cs="Arial"/>
              </w:rPr>
              <w:t>the opportunity for some</w:t>
            </w:r>
            <w:r w:rsidR="00BB5EAC" w:rsidRPr="00BB5EAC">
              <w:rPr>
                <w:rFonts w:eastAsia="Arial" w:cs="Arial"/>
              </w:rPr>
              <w:t xml:space="preserve"> staff with PP responsibilities to work with a mentor assigned to us by Achievement for All.</w:t>
            </w:r>
            <w:r w:rsidR="00E75044">
              <w:rPr>
                <w:rFonts w:eastAsia="Arial" w:cs="Arial"/>
              </w:rPr>
              <w:t xml:space="preserve">  However, the quality of training and support provided was below expectations, had little impact and therefore this will not be continued in 2019-20.</w:t>
            </w:r>
          </w:p>
        </w:tc>
        <w:tc>
          <w:tcPr>
            <w:tcW w:w="1231" w:type="dxa"/>
          </w:tcPr>
          <w:p w14:paraId="7B94A722" w14:textId="77777777" w:rsidR="00085BC5" w:rsidRPr="00BB5EAC" w:rsidRDefault="00085BC5" w:rsidP="00085BC5">
            <w:pPr>
              <w:jc w:val="center"/>
            </w:pPr>
            <w:r>
              <w:t>No</w:t>
            </w:r>
          </w:p>
        </w:tc>
      </w:tr>
      <w:tr w:rsidR="00BB5EAC" w:rsidRPr="00740367" w14:paraId="3D94C191" w14:textId="77777777" w:rsidTr="00085BC5">
        <w:trPr>
          <w:jc w:val="center"/>
        </w:trPr>
        <w:tc>
          <w:tcPr>
            <w:tcW w:w="2023" w:type="dxa"/>
            <w:vAlign w:val="center"/>
          </w:tcPr>
          <w:p w14:paraId="7D86B017"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Sam Learning Subscription</w:t>
            </w:r>
          </w:p>
        </w:tc>
        <w:tc>
          <w:tcPr>
            <w:tcW w:w="1357" w:type="dxa"/>
            <w:vAlign w:val="center"/>
          </w:tcPr>
          <w:p w14:paraId="331E55E5" w14:textId="77777777" w:rsidR="00BB5EAC" w:rsidRPr="00BB5EAC" w:rsidRDefault="00085BC5" w:rsidP="00BB5EAC">
            <w:pPr>
              <w:ind w:right="28"/>
              <w:jc w:val="center"/>
              <w:rPr>
                <w:rFonts w:eastAsia="Arial" w:cs="Arial"/>
              </w:rPr>
            </w:pPr>
            <w:r>
              <w:rPr>
                <w:rFonts w:eastAsia="Arial" w:cs="Arial"/>
              </w:rPr>
              <w:t>£666.50</w:t>
            </w:r>
          </w:p>
        </w:tc>
        <w:tc>
          <w:tcPr>
            <w:tcW w:w="1405" w:type="dxa"/>
            <w:vAlign w:val="center"/>
          </w:tcPr>
          <w:p w14:paraId="2DD20FA1" w14:textId="77777777" w:rsidR="00BB5EAC" w:rsidRPr="00BB5EAC" w:rsidRDefault="00085BC5" w:rsidP="00BB5EAC">
            <w:pPr>
              <w:ind w:left="94"/>
              <w:jc w:val="center"/>
              <w:rPr>
                <w:rFonts w:eastAsia="Arial" w:cs="Arial"/>
              </w:rPr>
            </w:pPr>
            <w:r>
              <w:rPr>
                <w:rFonts w:eastAsia="Arial" w:cs="Arial"/>
              </w:rPr>
              <w:t>4</w:t>
            </w:r>
          </w:p>
        </w:tc>
        <w:tc>
          <w:tcPr>
            <w:tcW w:w="8868" w:type="dxa"/>
            <w:vAlign w:val="center"/>
          </w:tcPr>
          <w:p w14:paraId="6EAE5A5E" w14:textId="09BAD87D" w:rsidR="00BB5EAC" w:rsidRPr="00BB5EAC" w:rsidRDefault="00E75044" w:rsidP="00E75044">
            <w:pPr>
              <w:rPr>
                <w:rFonts w:eastAsia="Arial" w:cs="Arial"/>
              </w:rPr>
            </w:pPr>
            <w:r>
              <w:rPr>
                <w:rFonts w:eastAsia="Arial" w:cs="Arial"/>
              </w:rPr>
              <w:t xml:space="preserve">Some </w:t>
            </w:r>
            <w:r w:rsidR="00BB5EAC" w:rsidRPr="00BB5EAC">
              <w:rPr>
                <w:rFonts w:eastAsia="Arial" w:cs="Arial"/>
              </w:rPr>
              <w:t xml:space="preserve">KS4 </w:t>
            </w:r>
            <w:r>
              <w:rPr>
                <w:rFonts w:eastAsia="Arial" w:cs="Arial"/>
              </w:rPr>
              <w:t>PP students have used Sam Learning</w:t>
            </w:r>
            <w:r w:rsidR="00BB5EAC" w:rsidRPr="00BB5EAC">
              <w:rPr>
                <w:rFonts w:eastAsia="Arial" w:cs="Arial"/>
              </w:rPr>
              <w:t xml:space="preserve"> to work independently </w:t>
            </w:r>
            <w:r>
              <w:rPr>
                <w:rFonts w:eastAsia="Arial" w:cs="Arial"/>
              </w:rPr>
              <w:t>from home or during sessions where they may have been isolated due to behaviour issues and therefore unable to have support from a subject specialist.  The Sam Learning subscription ended in March 2019.  This will not continue in 2019-20 as other packages such as EdLounge and SENECA have replaced this.</w:t>
            </w:r>
            <w:r w:rsidR="00893E27">
              <w:rPr>
                <w:rFonts w:eastAsia="Arial" w:cs="Arial"/>
              </w:rPr>
              <w:t xml:space="preserve">  </w:t>
            </w:r>
          </w:p>
        </w:tc>
        <w:tc>
          <w:tcPr>
            <w:tcW w:w="1231" w:type="dxa"/>
          </w:tcPr>
          <w:p w14:paraId="31CDC1E8" w14:textId="77777777" w:rsidR="00085BC5" w:rsidRPr="00BB5EAC" w:rsidRDefault="00085BC5" w:rsidP="00085BC5">
            <w:pPr>
              <w:jc w:val="center"/>
            </w:pPr>
            <w:r>
              <w:t>No</w:t>
            </w:r>
          </w:p>
        </w:tc>
      </w:tr>
      <w:tr w:rsidR="00BB5EAC" w:rsidRPr="00740367" w14:paraId="4B760B8E" w14:textId="77777777" w:rsidTr="00085BC5">
        <w:trPr>
          <w:jc w:val="center"/>
        </w:trPr>
        <w:tc>
          <w:tcPr>
            <w:tcW w:w="2023" w:type="dxa"/>
            <w:vAlign w:val="center"/>
          </w:tcPr>
          <w:p w14:paraId="0ED29AD1"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Careers</w:t>
            </w:r>
          </w:p>
        </w:tc>
        <w:tc>
          <w:tcPr>
            <w:tcW w:w="1357" w:type="dxa"/>
            <w:vAlign w:val="center"/>
          </w:tcPr>
          <w:p w14:paraId="4089EDD0" w14:textId="77777777" w:rsidR="00BB5EAC" w:rsidRPr="00BB5EAC" w:rsidRDefault="00BB5EAC" w:rsidP="00BB5EAC">
            <w:pPr>
              <w:ind w:right="28"/>
              <w:jc w:val="center"/>
              <w:rPr>
                <w:rFonts w:eastAsia="Arial" w:cs="Arial"/>
              </w:rPr>
            </w:pPr>
            <w:r w:rsidRPr="00BB5EAC">
              <w:rPr>
                <w:rFonts w:eastAsia="Arial" w:cs="Arial"/>
              </w:rPr>
              <w:t>£12,000</w:t>
            </w:r>
          </w:p>
        </w:tc>
        <w:tc>
          <w:tcPr>
            <w:tcW w:w="1405" w:type="dxa"/>
            <w:vAlign w:val="center"/>
          </w:tcPr>
          <w:p w14:paraId="06750CA6" w14:textId="77777777" w:rsidR="00BB5EAC" w:rsidRPr="00BB5EAC" w:rsidRDefault="00085BC5" w:rsidP="00BB5EAC">
            <w:pPr>
              <w:ind w:left="94"/>
              <w:jc w:val="center"/>
              <w:rPr>
                <w:rFonts w:eastAsia="Arial" w:cs="Arial"/>
              </w:rPr>
            </w:pPr>
            <w:r>
              <w:rPr>
                <w:rFonts w:eastAsia="Arial" w:cs="Arial"/>
              </w:rPr>
              <w:t>3/4</w:t>
            </w:r>
          </w:p>
        </w:tc>
        <w:tc>
          <w:tcPr>
            <w:tcW w:w="8868" w:type="dxa"/>
            <w:vAlign w:val="center"/>
          </w:tcPr>
          <w:p w14:paraId="5372E5BD" w14:textId="434195DB" w:rsidR="00BB5EAC" w:rsidRPr="00620449" w:rsidRDefault="00BB5EAC" w:rsidP="00711DCB">
            <w:pPr>
              <w:rPr>
                <w:rFonts w:eastAsia="Arial" w:cs="Arial"/>
              </w:rPr>
            </w:pPr>
            <w:r w:rsidRPr="00620449">
              <w:rPr>
                <w:rFonts w:eastAsia="Arial" w:cs="Arial"/>
              </w:rPr>
              <w:t xml:space="preserve">Individual careers appointments as well as organised trips, visits, talks etc are </w:t>
            </w:r>
            <w:r w:rsidR="00A04D47" w:rsidRPr="00620449">
              <w:rPr>
                <w:rFonts w:eastAsia="Arial" w:cs="Arial"/>
              </w:rPr>
              <w:t xml:space="preserve">a strength at Bolsover School and are </w:t>
            </w:r>
            <w:r w:rsidRPr="00620449">
              <w:rPr>
                <w:rFonts w:eastAsia="Arial" w:cs="Arial"/>
              </w:rPr>
              <w:t>very well received by students</w:t>
            </w:r>
            <w:r w:rsidR="00A04D47" w:rsidRPr="00620449">
              <w:rPr>
                <w:rFonts w:eastAsia="Arial" w:cs="Arial"/>
              </w:rPr>
              <w:t xml:space="preserve"> and parents/carers.  This supports </w:t>
            </w:r>
            <w:r w:rsidRPr="00620449">
              <w:rPr>
                <w:rFonts w:eastAsia="Arial" w:cs="Arial"/>
              </w:rPr>
              <w:t xml:space="preserve">increased engagement and aspirations among students.  All Y11 </w:t>
            </w:r>
            <w:r w:rsidR="00711DCB" w:rsidRPr="00620449">
              <w:rPr>
                <w:rFonts w:eastAsia="Arial" w:cs="Arial"/>
              </w:rPr>
              <w:t xml:space="preserve">students have at least one one-to-one careers appointment and </w:t>
            </w:r>
            <w:r w:rsidRPr="00620449">
              <w:rPr>
                <w:rFonts w:eastAsia="Arial" w:cs="Arial"/>
              </w:rPr>
              <w:t>attended a ‘mock results day’ and parents’ evening event with representatives from further education and the world of work who gave presentations and were available for one to one discussions.</w:t>
            </w:r>
            <w:r w:rsidR="00A04D47" w:rsidRPr="00620449">
              <w:rPr>
                <w:rFonts w:eastAsia="Arial" w:cs="Arial"/>
              </w:rPr>
              <w:t xml:space="preserve">  </w:t>
            </w:r>
            <w:r w:rsidR="001C2F82" w:rsidRPr="00620449">
              <w:rPr>
                <w:rFonts w:eastAsia="Arial" w:cs="Arial"/>
              </w:rPr>
              <w:t xml:space="preserve">In 2017 98% of leavers went into Education, Employment or Training.  The 2% NEET students were made up of 3 students </w:t>
            </w:r>
            <w:r w:rsidR="003017C0" w:rsidRPr="00620449">
              <w:rPr>
                <w:rFonts w:eastAsia="Arial" w:cs="Arial"/>
              </w:rPr>
              <w:t>(one was PP two were not PP).</w:t>
            </w:r>
            <w:r w:rsidR="002F0B7F" w:rsidRPr="00620449">
              <w:rPr>
                <w:rFonts w:eastAsia="Arial" w:cs="Arial"/>
              </w:rPr>
              <w:t xml:space="preserve">  In 2018 99% of leavers went into Education, Employment or Training.  The 1% NEET student was not a PP student.</w:t>
            </w:r>
            <w:r w:rsidR="00065458" w:rsidRPr="00620449">
              <w:rPr>
                <w:rFonts w:eastAsia="Arial" w:cs="Arial"/>
              </w:rPr>
              <w:t xml:space="preserve">  This extremely positive impact is due to the hard work of the careers officer and the staff as a whole who regularly engage in opportunities to raise aspirations offer information, advice and guidance to our students.</w:t>
            </w:r>
          </w:p>
        </w:tc>
        <w:tc>
          <w:tcPr>
            <w:tcW w:w="1231" w:type="dxa"/>
          </w:tcPr>
          <w:p w14:paraId="79E46EA8" w14:textId="77777777" w:rsidR="00085BC5" w:rsidRPr="00BB5EAC" w:rsidRDefault="00085BC5" w:rsidP="00085BC5">
            <w:pPr>
              <w:jc w:val="center"/>
            </w:pPr>
            <w:r>
              <w:t>Yes</w:t>
            </w:r>
          </w:p>
        </w:tc>
      </w:tr>
      <w:tr w:rsidR="00BB5EAC" w:rsidRPr="00740367" w14:paraId="7FF24B33" w14:textId="77777777" w:rsidTr="00085BC5">
        <w:trPr>
          <w:jc w:val="center"/>
        </w:trPr>
        <w:tc>
          <w:tcPr>
            <w:tcW w:w="2023" w:type="dxa"/>
            <w:vAlign w:val="center"/>
          </w:tcPr>
          <w:p w14:paraId="0AA62F6A"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Free Late Bus</w:t>
            </w:r>
          </w:p>
        </w:tc>
        <w:tc>
          <w:tcPr>
            <w:tcW w:w="1357" w:type="dxa"/>
            <w:vAlign w:val="center"/>
          </w:tcPr>
          <w:p w14:paraId="2475AD68" w14:textId="77777777" w:rsidR="00BB5EAC" w:rsidRPr="00BB5EAC" w:rsidRDefault="00BB5EAC" w:rsidP="00BB5EAC">
            <w:pPr>
              <w:ind w:right="28"/>
              <w:jc w:val="center"/>
              <w:rPr>
                <w:rFonts w:eastAsia="Arial" w:cs="Arial"/>
              </w:rPr>
            </w:pPr>
            <w:r w:rsidRPr="00BB5EAC">
              <w:rPr>
                <w:rFonts w:eastAsia="Arial" w:cs="Arial"/>
              </w:rPr>
              <w:t>£8,000</w:t>
            </w:r>
          </w:p>
        </w:tc>
        <w:tc>
          <w:tcPr>
            <w:tcW w:w="1405" w:type="dxa"/>
            <w:vAlign w:val="center"/>
          </w:tcPr>
          <w:p w14:paraId="518A3596" w14:textId="77777777" w:rsidR="00BB5EAC" w:rsidRPr="00BB5EAC" w:rsidRDefault="00085BC5" w:rsidP="00BB5EAC">
            <w:pPr>
              <w:ind w:left="94"/>
              <w:jc w:val="center"/>
              <w:rPr>
                <w:rFonts w:eastAsia="Arial" w:cs="Arial"/>
              </w:rPr>
            </w:pPr>
            <w:r>
              <w:rPr>
                <w:rFonts w:eastAsia="Arial" w:cs="Arial"/>
              </w:rPr>
              <w:t>3/4</w:t>
            </w:r>
          </w:p>
        </w:tc>
        <w:tc>
          <w:tcPr>
            <w:tcW w:w="8868" w:type="dxa"/>
            <w:vAlign w:val="center"/>
          </w:tcPr>
          <w:p w14:paraId="3E36AE48" w14:textId="58FA8402" w:rsidR="00BB5EAC" w:rsidRPr="00620449" w:rsidRDefault="00085BC5" w:rsidP="00711DCB">
            <w:pPr>
              <w:rPr>
                <w:rFonts w:eastAsia="Arial" w:cs="Arial"/>
              </w:rPr>
            </w:pPr>
            <w:r w:rsidRPr="00010184">
              <w:rPr>
                <w:rFonts w:eastAsia="Arial" w:cs="Arial"/>
              </w:rPr>
              <w:t>Allows all students to access p6</w:t>
            </w:r>
            <w:r w:rsidR="00BB5EAC" w:rsidRPr="00010184">
              <w:rPr>
                <w:rFonts w:eastAsia="Arial" w:cs="Arial"/>
              </w:rPr>
              <w:t xml:space="preserve"> intervention without any concerns about how to get home</w:t>
            </w:r>
            <w:r w:rsidR="00711DCB" w:rsidRPr="00010184">
              <w:rPr>
                <w:rFonts w:eastAsia="Arial" w:cs="Arial"/>
                <w:color w:val="000000" w:themeColor="text1"/>
              </w:rPr>
              <w:t>.</w:t>
            </w:r>
            <w:r w:rsidR="00432B71" w:rsidRPr="00010184">
              <w:rPr>
                <w:rFonts w:eastAsia="Arial" w:cs="Arial"/>
                <w:color w:val="000000" w:themeColor="text1"/>
              </w:rPr>
              <w:t xml:space="preserve">  In 2017-18 there were 45 PP students who used the late bus out of 144 students in total (31%), in 2018-19 this increased to 71 PP students out of 161 students in total (44%).</w:t>
            </w:r>
          </w:p>
        </w:tc>
        <w:tc>
          <w:tcPr>
            <w:tcW w:w="1231" w:type="dxa"/>
          </w:tcPr>
          <w:p w14:paraId="52C8E47C" w14:textId="77777777" w:rsidR="00BB5EAC" w:rsidRPr="00BB5EAC" w:rsidRDefault="00085BC5" w:rsidP="00BB5EAC">
            <w:pPr>
              <w:jc w:val="center"/>
            </w:pPr>
            <w:r>
              <w:t>Yes</w:t>
            </w:r>
          </w:p>
        </w:tc>
      </w:tr>
      <w:tr w:rsidR="005762C3" w:rsidRPr="00740367" w14:paraId="09632915" w14:textId="77777777" w:rsidTr="00085BC5">
        <w:trPr>
          <w:jc w:val="center"/>
        </w:trPr>
        <w:tc>
          <w:tcPr>
            <w:tcW w:w="2023" w:type="dxa"/>
            <w:vAlign w:val="center"/>
          </w:tcPr>
          <w:p w14:paraId="0D3BE1C9" w14:textId="77777777" w:rsidR="00BB5EAC" w:rsidRPr="00BB5EAC" w:rsidRDefault="00BB5EAC" w:rsidP="00711DCB">
            <w:pPr>
              <w:spacing w:after="7"/>
              <w:ind w:right="31"/>
              <w:jc w:val="center"/>
              <w:rPr>
                <w:rFonts w:eastAsia="Arial" w:cs="Arial"/>
                <w:color w:val="3F3F3F"/>
              </w:rPr>
            </w:pPr>
            <w:r w:rsidRPr="00BB5EAC">
              <w:rPr>
                <w:rFonts w:eastAsia="Arial" w:cs="Arial"/>
                <w:color w:val="3F3F3F"/>
              </w:rPr>
              <w:t xml:space="preserve">Uniform store </w:t>
            </w:r>
          </w:p>
        </w:tc>
        <w:tc>
          <w:tcPr>
            <w:tcW w:w="1357" w:type="dxa"/>
            <w:vAlign w:val="center"/>
          </w:tcPr>
          <w:p w14:paraId="4D51920B" w14:textId="77777777" w:rsidR="00BB5EAC" w:rsidRPr="00085BC5" w:rsidRDefault="009E2E22" w:rsidP="00BB5EAC">
            <w:pPr>
              <w:ind w:right="28"/>
              <w:jc w:val="center"/>
              <w:rPr>
                <w:rFonts w:eastAsia="Arial" w:cs="Arial"/>
                <w:highlight w:val="yellow"/>
              </w:rPr>
            </w:pPr>
            <w:r w:rsidRPr="009E2E22">
              <w:rPr>
                <w:rFonts w:eastAsia="Arial" w:cs="Arial"/>
              </w:rPr>
              <w:t>£1,700</w:t>
            </w:r>
          </w:p>
        </w:tc>
        <w:tc>
          <w:tcPr>
            <w:tcW w:w="1405" w:type="dxa"/>
            <w:vAlign w:val="center"/>
          </w:tcPr>
          <w:p w14:paraId="4D5C8869" w14:textId="77777777" w:rsidR="00BB5EAC" w:rsidRPr="00085BC5" w:rsidRDefault="009E2E22" w:rsidP="00BB5EAC">
            <w:pPr>
              <w:ind w:left="94"/>
              <w:jc w:val="center"/>
              <w:rPr>
                <w:rFonts w:eastAsia="Arial" w:cs="Arial"/>
                <w:highlight w:val="yellow"/>
              </w:rPr>
            </w:pPr>
            <w:r w:rsidRPr="009E2E22">
              <w:rPr>
                <w:rFonts w:eastAsia="Arial" w:cs="Arial"/>
              </w:rPr>
              <w:t>3/4</w:t>
            </w:r>
          </w:p>
        </w:tc>
        <w:tc>
          <w:tcPr>
            <w:tcW w:w="8868" w:type="dxa"/>
            <w:vAlign w:val="center"/>
          </w:tcPr>
          <w:p w14:paraId="71EA0ADE" w14:textId="41D491C7" w:rsidR="00BB5EAC" w:rsidRPr="00DD1A7B" w:rsidRDefault="00DD1A7B" w:rsidP="00DD1A7B">
            <w:pPr>
              <w:rPr>
                <w:rFonts w:eastAsia="Arial" w:cs="Arial"/>
              </w:rPr>
            </w:pPr>
            <w:r w:rsidRPr="00DD1A7B">
              <w:rPr>
                <w:rFonts w:eastAsia="Arial" w:cs="Arial"/>
              </w:rPr>
              <w:t xml:space="preserve">Due to significant changes in the behaviour policy, comparisons with the previous year are not measurable.  </w:t>
            </w:r>
            <w:r>
              <w:rPr>
                <w:rFonts w:eastAsia="Arial" w:cs="Arial"/>
              </w:rPr>
              <w:t>However, i</w:t>
            </w:r>
            <w:r w:rsidRPr="00DD1A7B">
              <w:rPr>
                <w:rFonts w:eastAsia="Arial" w:cs="Arial"/>
              </w:rPr>
              <w:t>n the first half term of 2018-19</w:t>
            </w:r>
            <w:r w:rsidR="00F136E0" w:rsidRPr="00DD1A7B">
              <w:rPr>
                <w:rFonts w:eastAsia="Arial" w:cs="Arial"/>
              </w:rPr>
              <w:t xml:space="preserve"> there were </w:t>
            </w:r>
            <w:r w:rsidRPr="00DD1A7B">
              <w:rPr>
                <w:rFonts w:eastAsia="Arial" w:cs="Arial"/>
              </w:rPr>
              <w:t>8</w:t>
            </w:r>
            <w:r w:rsidR="00F136E0" w:rsidRPr="00DD1A7B">
              <w:rPr>
                <w:rFonts w:eastAsia="Arial" w:cs="Arial"/>
              </w:rPr>
              <w:t xml:space="preserve"> PP students isolated in REMOVE</w:t>
            </w:r>
            <w:r w:rsidRPr="00DD1A7B">
              <w:rPr>
                <w:rFonts w:eastAsia="Arial" w:cs="Arial"/>
              </w:rPr>
              <w:t xml:space="preserve"> due to uniform issues</w:t>
            </w:r>
            <w:r w:rsidR="00F136E0" w:rsidRPr="00DD1A7B">
              <w:rPr>
                <w:rFonts w:eastAsia="Arial" w:cs="Arial"/>
              </w:rPr>
              <w:t>.  Over the course of the year, as the uniform store became more embedded into the school culture, this figur</w:t>
            </w:r>
            <w:r w:rsidRPr="00DD1A7B">
              <w:rPr>
                <w:rFonts w:eastAsia="Arial" w:cs="Arial"/>
              </w:rPr>
              <w:t>e reduce</w:t>
            </w:r>
            <w:r w:rsidR="002B3B32">
              <w:rPr>
                <w:rFonts w:eastAsia="Arial" w:cs="Arial"/>
              </w:rPr>
              <w:t xml:space="preserve">d significantly </w:t>
            </w:r>
            <w:r w:rsidRPr="00DD1A7B">
              <w:rPr>
                <w:rFonts w:eastAsia="Arial" w:cs="Arial"/>
              </w:rPr>
              <w:t xml:space="preserve">with just 4 PP </w:t>
            </w:r>
            <w:r w:rsidR="00F136E0" w:rsidRPr="00DD1A7B">
              <w:rPr>
                <w:rFonts w:eastAsia="Arial" w:cs="Arial"/>
              </w:rPr>
              <w:t>s</w:t>
            </w:r>
            <w:r w:rsidRPr="00DD1A7B">
              <w:rPr>
                <w:rFonts w:eastAsia="Arial" w:cs="Arial"/>
              </w:rPr>
              <w:t>tudents isolated in remove</w:t>
            </w:r>
            <w:r w:rsidR="002B3B32">
              <w:rPr>
                <w:rFonts w:eastAsia="Arial" w:cs="Arial"/>
              </w:rPr>
              <w:t xml:space="preserve"> due to uniform issues</w:t>
            </w:r>
            <w:r w:rsidRPr="00DD1A7B">
              <w:rPr>
                <w:rFonts w:eastAsia="Arial" w:cs="Arial"/>
              </w:rPr>
              <w:t xml:space="preserve"> between October half term 2018 and the end of the school year in July 2019</w:t>
            </w:r>
            <w:r w:rsidR="00F136E0" w:rsidRPr="00DD1A7B">
              <w:rPr>
                <w:rFonts w:eastAsia="Arial" w:cs="Arial"/>
              </w:rPr>
              <w:t>.  Students and parents generally show a positive attitude this facility and uniform is no longer an issue for disadvantaged students.  The standard of uniform for all students on school site is now high</w:t>
            </w:r>
            <w:r w:rsidRPr="00DD1A7B">
              <w:rPr>
                <w:rFonts w:eastAsia="Arial" w:cs="Arial"/>
              </w:rPr>
              <w:t>.</w:t>
            </w:r>
          </w:p>
        </w:tc>
        <w:tc>
          <w:tcPr>
            <w:tcW w:w="1231" w:type="dxa"/>
          </w:tcPr>
          <w:p w14:paraId="3AAFE7FA" w14:textId="77777777" w:rsidR="00BB5EAC" w:rsidRPr="00BB5EAC" w:rsidRDefault="00BB5EAC" w:rsidP="00BB5EAC">
            <w:pPr>
              <w:jc w:val="center"/>
              <w:rPr>
                <w:rFonts w:eastAsia="Times New Roman"/>
              </w:rPr>
            </w:pPr>
            <w:r w:rsidRPr="00BB5EAC">
              <w:t>Yes</w:t>
            </w:r>
          </w:p>
        </w:tc>
      </w:tr>
      <w:tr w:rsidR="005762C3" w:rsidRPr="00740367" w14:paraId="25B2E564" w14:textId="77777777" w:rsidTr="00903001">
        <w:trPr>
          <w:jc w:val="center"/>
        </w:trPr>
        <w:tc>
          <w:tcPr>
            <w:tcW w:w="2023" w:type="dxa"/>
            <w:vAlign w:val="center"/>
          </w:tcPr>
          <w:p w14:paraId="3C2BB424"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Support with extra-curricular/hardship fund/food resources</w:t>
            </w:r>
          </w:p>
        </w:tc>
        <w:tc>
          <w:tcPr>
            <w:tcW w:w="1357" w:type="dxa"/>
            <w:vAlign w:val="center"/>
          </w:tcPr>
          <w:p w14:paraId="73AA94AE" w14:textId="77777777" w:rsidR="00BB5EAC" w:rsidRPr="00BB5EAC" w:rsidRDefault="00085BC5" w:rsidP="00BB5EAC">
            <w:pPr>
              <w:ind w:right="28"/>
              <w:jc w:val="center"/>
              <w:rPr>
                <w:rFonts w:eastAsia="Arial" w:cs="Arial"/>
              </w:rPr>
            </w:pPr>
            <w:r>
              <w:rPr>
                <w:rFonts w:eastAsia="Arial" w:cs="Arial"/>
              </w:rPr>
              <w:t>£10,000</w:t>
            </w:r>
          </w:p>
        </w:tc>
        <w:tc>
          <w:tcPr>
            <w:tcW w:w="1405" w:type="dxa"/>
            <w:vAlign w:val="center"/>
          </w:tcPr>
          <w:p w14:paraId="7216BB9D" w14:textId="77777777" w:rsidR="00BB5EAC" w:rsidRPr="00BB5EAC" w:rsidRDefault="00967679" w:rsidP="00BB5EAC">
            <w:pPr>
              <w:ind w:left="94"/>
              <w:jc w:val="center"/>
              <w:rPr>
                <w:rFonts w:eastAsia="Arial" w:cs="Arial"/>
              </w:rPr>
            </w:pPr>
            <w:r>
              <w:rPr>
                <w:rFonts w:eastAsia="Arial" w:cs="Arial"/>
              </w:rPr>
              <w:t>3/4</w:t>
            </w:r>
          </w:p>
        </w:tc>
        <w:tc>
          <w:tcPr>
            <w:tcW w:w="8868" w:type="dxa"/>
          </w:tcPr>
          <w:p w14:paraId="6D285F28" w14:textId="2773B49B" w:rsidR="00BB5EAC" w:rsidRPr="00DD1A7B" w:rsidRDefault="00F136E0" w:rsidP="00730EB3">
            <w:pPr>
              <w:rPr>
                <w:rFonts w:eastAsia="Arial" w:cs="Arial"/>
              </w:rPr>
            </w:pPr>
            <w:r w:rsidRPr="00AD59B0">
              <w:rPr>
                <w:rFonts w:eastAsia="Arial" w:cs="Arial"/>
                <w:color w:val="0D0D0D" w:themeColor="text1" w:themeTint="F2"/>
              </w:rPr>
              <w:t>This means that in extreme cases of hardship we can support yo</w:t>
            </w:r>
            <w:r w:rsidR="00730EB3">
              <w:rPr>
                <w:rFonts w:eastAsia="Arial" w:cs="Arial"/>
                <w:color w:val="0D0D0D" w:themeColor="text1" w:themeTint="F2"/>
              </w:rPr>
              <w:t>ung people and their families. S</w:t>
            </w:r>
            <w:r w:rsidR="00BB5EAC" w:rsidRPr="00AD59B0">
              <w:rPr>
                <w:rFonts w:eastAsia="Arial" w:cs="Arial"/>
                <w:color w:val="0D0D0D" w:themeColor="text1" w:themeTint="F2"/>
              </w:rPr>
              <w:t xml:space="preserve">tudents are </w:t>
            </w:r>
            <w:r w:rsidR="00730EB3">
              <w:rPr>
                <w:rFonts w:eastAsia="Arial" w:cs="Arial"/>
                <w:color w:val="0D0D0D" w:themeColor="text1" w:themeTint="F2"/>
              </w:rPr>
              <w:t xml:space="preserve">therefore </w:t>
            </w:r>
            <w:r w:rsidR="00BB5EAC" w:rsidRPr="00AD59B0">
              <w:rPr>
                <w:rFonts w:eastAsia="Arial" w:cs="Arial"/>
                <w:color w:val="0D0D0D" w:themeColor="text1" w:themeTint="F2"/>
              </w:rPr>
              <w:t>able to access the full curriculum and extra-curricular activities on offer</w:t>
            </w:r>
            <w:r w:rsidRPr="00AD59B0">
              <w:rPr>
                <w:rFonts w:eastAsia="Arial" w:cs="Arial"/>
                <w:color w:val="0D0D0D" w:themeColor="text1" w:themeTint="F2"/>
              </w:rPr>
              <w:t>.</w:t>
            </w:r>
            <w:r w:rsidR="002B3B32" w:rsidRPr="00AD59B0">
              <w:rPr>
                <w:rFonts w:eastAsia="Arial" w:cs="Arial"/>
                <w:color w:val="0D0D0D" w:themeColor="text1" w:themeTint="F2"/>
              </w:rPr>
              <w:t xml:space="preserve">  </w:t>
            </w:r>
            <w:r w:rsidR="002B3B32" w:rsidRPr="00010184">
              <w:rPr>
                <w:rFonts w:eastAsia="Arial" w:cs="Arial"/>
                <w:color w:val="0D0D0D" w:themeColor="text1" w:themeTint="F2"/>
              </w:rPr>
              <w:t xml:space="preserve">For example, </w:t>
            </w:r>
            <w:r w:rsidR="00AD59B0" w:rsidRPr="00010184">
              <w:rPr>
                <w:rFonts w:eastAsia="Arial" w:cs="Arial"/>
                <w:color w:val="0D0D0D" w:themeColor="text1" w:themeTint="F2"/>
              </w:rPr>
              <w:t>last year we provided</w:t>
            </w:r>
            <w:r w:rsidR="002B3B32" w:rsidRPr="00010184">
              <w:rPr>
                <w:rFonts w:eastAsia="Arial" w:cs="Arial"/>
                <w:color w:val="0D0D0D" w:themeColor="text1" w:themeTint="F2"/>
              </w:rPr>
              <w:t xml:space="preserve"> </w:t>
            </w:r>
            <w:r w:rsidR="00851248" w:rsidRPr="00010184">
              <w:rPr>
                <w:rFonts w:eastAsia="Arial" w:cs="Arial"/>
                <w:color w:val="0D0D0D" w:themeColor="text1" w:themeTint="F2"/>
              </w:rPr>
              <w:t xml:space="preserve">some </w:t>
            </w:r>
            <w:r w:rsidR="002B3B32" w:rsidRPr="00010184">
              <w:rPr>
                <w:rFonts w:eastAsia="Arial" w:cs="Arial"/>
                <w:color w:val="0D0D0D" w:themeColor="text1" w:themeTint="F2"/>
              </w:rPr>
              <w:t>ingredients</w:t>
            </w:r>
            <w:r w:rsidR="00FE0889" w:rsidRPr="00010184">
              <w:rPr>
                <w:rFonts w:eastAsia="Arial" w:cs="Arial"/>
                <w:color w:val="0D0D0D" w:themeColor="text1" w:themeTint="F2"/>
              </w:rPr>
              <w:t xml:space="preserve"> for students so they </w:t>
            </w:r>
            <w:r w:rsidR="00AD59B0" w:rsidRPr="00010184">
              <w:rPr>
                <w:rFonts w:eastAsia="Arial" w:cs="Arial"/>
                <w:color w:val="0D0D0D" w:themeColor="text1" w:themeTint="F2"/>
              </w:rPr>
              <w:t>could</w:t>
            </w:r>
            <w:r w:rsidR="00FE0889" w:rsidRPr="00010184">
              <w:rPr>
                <w:rFonts w:eastAsia="Arial" w:cs="Arial"/>
                <w:color w:val="0D0D0D" w:themeColor="text1" w:themeTint="F2"/>
              </w:rPr>
              <w:t xml:space="preserve"> participate in practical lessons </w:t>
            </w:r>
            <w:r w:rsidR="008902DE" w:rsidRPr="00010184">
              <w:rPr>
                <w:rFonts w:eastAsia="Arial" w:cs="Arial"/>
                <w:color w:val="0D0D0D" w:themeColor="text1" w:themeTint="F2"/>
              </w:rPr>
              <w:t>in Food Preparation.  The GCSE results in this subject are strong and in 2019 the subject progress index was 0.78 (NPP 1.07, PP 0.19).</w:t>
            </w:r>
            <w:r w:rsidR="00B877E3" w:rsidRPr="00010184">
              <w:rPr>
                <w:rFonts w:eastAsia="Arial" w:cs="Arial"/>
                <w:color w:val="0D0D0D" w:themeColor="text1" w:themeTint="F2"/>
              </w:rPr>
              <w:t xml:space="preserve">  Student X received </w:t>
            </w:r>
            <w:r w:rsidR="00F07968" w:rsidRPr="00010184">
              <w:rPr>
                <w:rFonts w:eastAsia="Arial" w:cs="Arial"/>
                <w:color w:val="0D0D0D" w:themeColor="text1" w:themeTint="F2"/>
              </w:rPr>
              <w:t>a necessary pharmaceutical product which enabled them to attend school after a period of absence.</w:t>
            </w:r>
            <w:r w:rsidR="00AD59B0" w:rsidRPr="00010184">
              <w:rPr>
                <w:rFonts w:eastAsia="Arial" w:cs="Arial"/>
                <w:color w:val="0D0D0D" w:themeColor="text1" w:themeTint="F2"/>
              </w:rPr>
              <w:t xml:space="preserve">  Student X and Y received PP support to help with deposits</w:t>
            </w:r>
            <w:r w:rsidR="00730EB3">
              <w:rPr>
                <w:rFonts w:eastAsia="Arial" w:cs="Arial"/>
                <w:color w:val="0D0D0D" w:themeColor="text1" w:themeTint="F2"/>
              </w:rPr>
              <w:t xml:space="preserve"> for</w:t>
            </w:r>
            <w:r w:rsidR="00AD59B0" w:rsidRPr="00010184">
              <w:rPr>
                <w:rFonts w:eastAsia="Arial" w:cs="Arial"/>
                <w:color w:val="0D0D0D" w:themeColor="text1" w:themeTint="F2"/>
              </w:rPr>
              <w:t xml:space="preserve"> a Macbeth trip which allowed pay</w:t>
            </w:r>
            <w:r w:rsidR="00010184" w:rsidRPr="00010184">
              <w:rPr>
                <w:rFonts w:eastAsia="Arial" w:cs="Arial"/>
                <w:color w:val="0D0D0D" w:themeColor="text1" w:themeTint="F2"/>
              </w:rPr>
              <w:t>ments to be made in instalments and the students to share the same experience as their peers.</w:t>
            </w:r>
          </w:p>
        </w:tc>
        <w:tc>
          <w:tcPr>
            <w:tcW w:w="1231" w:type="dxa"/>
          </w:tcPr>
          <w:p w14:paraId="40D77BBD" w14:textId="77777777" w:rsidR="00BB5EAC" w:rsidRPr="00BB5EAC" w:rsidRDefault="00BB5EAC" w:rsidP="00BB5EAC">
            <w:pPr>
              <w:jc w:val="center"/>
            </w:pPr>
            <w:r w:rsidRPr="00BB5EAC">
              <w:t>Yes</w:t>
            </w:r>
          </w:p>
        </w:tc>
      </w:tr>
      <w:tr w:rsidR="005762C3" w:rsidRPr="00740367" w14:paraId="2CD86C15" w14:textId="77777777" w:rsidTr="00903001">
        <w:trPr>
          <w:trHeight w:val="1441"/>
          <w:jc w:val="center"/>
        </w:trPr>
        <w:tc>
          <w:tcPr>
            <w:tcW w:w="2023" w:type="dxa"/>
            <w:vAlign w:val="center"/>
          </w:tcPr>
          <w:p w14:paraId="5B16FE19" w14:textId="77777777" w:rsidR="00BB5EAC" w:rsidRPr="00BB5EAC" w:rsidRDefault="00967679" w:rsidP="00BB5EAC">
            <w:pPr>
              <w:spacing w:after="7"/>
              <w:ind w:right="31"/>
              <w:jc w:val="center"/>
              <w:rPr>
                <w:rFonts w:eastAsia="Arial" w:cs="Arial"/>
                <w:color w:val="3F3F3F"/>
              </w:rPr>
            </w:pPr>
            <w:r>
              <w:rPr>
                <w:rFonts w:eastAsia="Arial" w:cs="Arial"/>
                <w:color w:val="3F3F3F"/>
              </w:rPr>
              <w:lastRenderedPageBreak/>
              <w:t>SIMS/</w:t>
            </w:r>
            <w:r w:rsidR="00BB5EAC" w:rsidRPr="00BB5EAC">
              <w:rPr>
                <w:rFonts w:eastAsia="Arial" w:cs="Arial"/>
                <w:color w:val="3F3F3F"/>
              </w:rPr>
              <w:t>SISRA</w:t>
            </w:r>
          </w:p>
        </w:tc>
        <w:tc>
          <w:tcPr>
            <w:tcW w:w="1357" w:type="dxa"/>
            <w:vAlign w:val="center"/>
          </w:tcPr>
          <w:p w14:paraId="1C1EFDF2" w14:textId="77777777" w:rsidR="00BB5EAC" w:rsidRPr="00BB5EAC" w:rsidRDefault="009E2E22" w:rsidP="00BB5EAC">
            <w:pPr>
              <w:ind w:right="28"/>
              <w:jc w:val="center"/>
              <w:rPr>
                <w:rFonts w:eastAsia="Arial" w:cs="Arial"/>
              </w:rPr>
            </w:pPr>
            <w:r w:rsidRPr="009E2E22">
              <w:rPr>
                <w:rFonts w:eastAsia="Arial" w:cs="Arial"/>
              </w:rPr>
              <w:t>£9,755</w:t>
            </w:r>
          </w:p>
        </w:tc>
        <w:tc>
          <w:tcPr>
            <w:tcW w:w="1405" w:type="dxa"/>
            <w:vAlign w:val="center"/>
          </w:tcPr>
          <w:p w14:paraId="6C00DFDD" w14:textId="77777777" w:rsidR="00BB5EAC" w:rsidRPr="00BB5EAC" w:rsidRDefault="00967679" w:rsidP="00BB5EAC">
            <w:pPr>
              <w:ind w:left="94"/>
              <w:jc w:val="center"/>
              <w:rPr>
                <w:rFonts w:eastAsia="Arial" w:cs="Arial"/>
              </w:rPr>
            </w:pPr>
            <w:r>
              <w:rPr>
                <w:rFonts w:eastAsia="Arial" w:cs="Arial"/>
              </w:rPr>
              <w:t>3/4</w:t>
            </w:r>
          </w:p>
        </w:tc>
        <w:tc>
          <w:tcPr>
            <w:tcW w:w="8868" w:type="dxa"/>
          </w:tcPr>
          <w:p w14:paraId="78990EE7" w14:textId="77777777" w:rsidR="00BB5EAC" w:rsidRPr="00BB5EAC" w:rsidRDefault="00903001" w:rsidP="00903001">
            <w:pPr>
              <w:rPr>
                <w:rFonts w:eastAsia="Arial" w:cs="Arial"/>
              </w:rPr>
            </w:pPr>
            <w:r>
              <w:rPr>
                <w:rFonts w:eastAsia="Arial" w:cs="Arial"/>
              </w:rPr>
              <w:t xml:space="preserve">SIMS allows all teaching staff to quickly identify PP students in their lessons as they take the register and to monitor the data for these students in staff marksheets.  </w:t>
            </w:r>
            <w:r w:rsidR="00BB5EAC" w:rsidRPr="00BB5EAC">
              <w:rPr>
                <w:rFonts w:eastAsia="Arial" w:cs="Arial"/>
              </w:rPr>
              <w:t>SISRA allows data to be easily analysed to inform future planning at classroom teacher, depa</w:t>
            </w:r>
            <w:r>
              <w:rPr>
                <w:rFonts w:eastAsia="Arial" w:cs="Arial"/>
              </w:rPr>
              <w:t xml:space="preserve">rtment and whole school level.  </w:t>
            </w:r>
            <w:r w:rsidR="00BB5EAC" w:rsidRPr="00BB5EAC">
              <w:rPr>
                <w:rFonts w:eastAsia="Arial" w:cs="Arial"/>
              </w:rPr>
              <w:t>Groups such as PP students can be easily identified allowing interrogation of data and can therefore be used to inform interventions.</w:t>
            </w:r>
          </w:p>
        </w:tc>
        <w:tc>
          <w:tcPr>
            <w:tcW w:w="1231" w:type="dxa"/>
          </w:tcPr>
          <w:p w14:paraId="22DDAA3B" w14:textId="77777777" w:rsidR="00BB5EAC" w:rsidRPr="00BB5EAC" w:rsidRDefault="00BB5EAC" w:rsidP="00BB5EAC">
            <w:pPr>
              <w:jc w:val="center"/>
            </w:pPr>
            <w:r w:rsidRPr="00BB5EAC">
              <w:t>Yes</w:t>
            </w:r>
          </w:p>
        </w:tc>
      </w:tr>
      <w:tr w:rsidR="005762C3" w:rsidRPr="00740367" w14:paraId="6E351B67" w14:textId="77777777" w:rsidTr="00085BC5">
        <w:trPr>
          <w:jc w:val="center"/>
        </w:trPr>
        <w:tc>
          <w:tcPr>
            <w:tcW w:w="2023" w:type="dxa"/>
            <w:vAlign w:val="center"/>
          </w:tcPr>
          <w:p w14:paraId="05B72285"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Positive Support</w:t>
            </w:r>
            <w:r w:rsidR="00903001">
              <w:rPr>
                <w:rFonts w:eastAsia="Arial" w:cs="Arial"/>
                <w:color w:val="3F3F3F"/>
              </w:rPr>
              <w:t xml:space="preserve"> Worker</w:t>
            </w:r>
          </w:p>
        </w:tc>
        <w:tc>
          <w:tcPr>
            <w:tcW w:w="1357" w:type="dxa"/>
            <w:vAlign w:val="center"/>
          </w:tcPr>
          <w:p w14:paraId="5DB40754" w14:textId="77777777" w:rsidR="00BB5EAC" w:rsidRPr="00BB5EAC" w:rsidRDefault="00BB5EAC" w:rsidP="00BB5EAC">
            <w:pPr>
              <w:ind w:right="28"/>
              <w:jc w:val="center"/>
              <w:rPr>
                <w:rFonts w:eastAsia="Arial" w:cs="Arial"/>
              </w:rPr>
            </w:pPr>
            <w:r w:rsidRPr="00BB5EAC">
              <w:rPr>
                <w:rFonts w:eastAsia="Arial" w:cs="Arial"/>
              </w:rPr>
              <w:t>£6,581</w:t>
            </w:r>
          </w:p>
        </w:tc>
        <w:tc>
          <w:tcPr>
            <w:tcW w:w="1405" w:type="dxa"/>
            <w:vAlign w:val="center"/>
          </w:tcPr>
          <w:p w14:paraId="5E8A1880" w14:textId="77777777" w:rsidR="00BB5EAC" w:rsidRPr="00BB5EAC" w:rsidRDefault="005762C3" w:rsidP="00BB5EAC">
            <w:pPr>
              <w:ind w:left="94"/>
              <w:jc w:val="center"/>
              <w:rPr>
                <w:rFonts w:eastAsia="Arial" w:cs="Arial"/>
              </w:rPr>
            </w:pPr>
            <w:r>
              <w:rPr>
                <w:rFonts w:eastAsia="Arial" w:cs="Arial"/>
              </w:rPr>
              <w:t>3/4</w:t>
            </w:r>
          </w:p>
        </w:tc>
        <w:tc>
          <w:tcPr>
            <w:tcW w:w="8868" w:type="dxa"/>
            <w:vAlign w:val="center"/>
          </w:tcPr>
          <w:p w14:paraId="72DAD16B" w14:textId="77777777" w:rsidR="00BB5EAC" w:rsidRPr="00BB5EAC" w:rsidRDefault="00BB5EAC" w:rsidP="00903001">
            <w:pPr>
              <w:rPr>
                <w:rFonts w:eastAsia="Arial" w:cs="Arial"/>
              </w:rPr>
            </w:pPr>
            <w:r w:rsidRPr="00BB5EAC">
              <w:rPr>
                <w:rFonts w:eastAsia="Arial" w:cs="Arial"/>
              </w:rPr>
              <w:t>Identified students can have one to one or small group sessions to provide positive support where needed.  This ensures students are able to maximise their progress in school as some of their barriers to success are removed.</w:t>
            </w:r>
            <w:r w:rsidR="00903001">
              <w:rPr>
                <w:rFonts w:eastAsia="Arial" w:cs="Arial"/>
              </w:rPr>
              <w:t xml:space="preserve">  This will not continue in 2019-20 as we </w:t>
            </w:r>
            <w:r w:rsidR="00655F31">
              <w:rPr>
                <w:rFonts w:eastAsia="Arial" w:cs="Arial"/>
              </w:rPr>
              <w:t xml:space="preserve">have trained some staff ‘in-house’ in this area and </w:t>
            </w:r>
            <w:r w:rsidR="00903001">
              <w:rPr>
                <w:rFonts w:eastAsia="Arial" w:cs="Arial"/>
              </w:rPr>
              <w:t>are</w:t>
            </w:r>
            <w:r w:rsidR="00655F31">
              <w:rPr>
                <w:rFonts w:eastAsia="Arial" w:cs="Arial"/>
              </w:rPr>
              <w:t xml:space="preserve"> also</w:t>
            </w:r>
            <w:r w:rsidR="00903001">
              <w:rPr>
                <w:rFonts w:eastAsia="Arial" w:cs="Arial"/>
              </w:rPr>
              <w:t xml:space="preserve"> moving to P4YP (Positive for Young People) for this provision. </w:t>
            </w:r>
          </w:p>
        </w:tc>
        <w:tc>
          <w:tcPr>
            <w:tcW w:w="1231" w:type="dxa"/>
          </w:tcPr>
          <w:p w14:paraId="4FA0FDCA" w14:textId="77777777" w:rsidR="00BB5EAC" w:rsidRPr="00BB5EAC" w:rsidRDefault="00903001" w:rsidP="00BB5EAC">
            <w:pPr>
              <w:jc w:val="center"/>
            </w:pPr>
            <w:r>
              <w:t>No</w:t>
            </w:r>
          </w:p>
        </w:tc>
      </w:tr>
      <w:tr w:rsidR="005762C3" w:rsidRPr="00740367" w14:paraId="594DFC17" w14:textId="77777777" w:rsidTr="00085BC5">
        <w:trPr>
          <w:jc w:val="center"/>
        </w:trPr>
        <w:tc>
          <w:tcPr>
            <w:tcW w:w="2023" w:type="dxa"/>
            <w:vAlign w:val="center"/>
          </w:tcPr>
          <w:p w14:paraId="06692346" w14:textId="77777777" w:rsidR="00BB5EAC" w:rsidRPr="00BB5EAC" w:rsidRDefault="00BB5EAC" w:rsidP="00BB5EAC">
            <w:pPr>
              <w:spacing w:after="7"/>
              <w:ind w:right="31"/>
              <w:jc w:val="center"/>
              <w:rPr>
                <w:rFonts w:eastAsia="Arial" w:cs="Arial"/>
                <w:color w:val="3F3F3F"/>
              </w:rPr>
            </w:pPr>
            <w:r w:rsidRPr="00BB5EAC">
              <w:rPr>
                <w:rFonts w:eastAsia="Arial" w:cs="Arial"/>
                <w:color w:val="3F3F3F"/>
              </w:rPr>
              <w:t>Behaviour Support</w:t>
            </w:r>
            <w:r w:rsidR="00903001">
              <w:rPr>
                <w:rFonts w:eastAsia="Arial" w:cs="Arial"/>
                <w:color w:val="3F3F3F"/>
              </w:rPr>
              <w:t xml:space="preserve"> Worker</w:t>
            </w:r>
          </w:p>
        </w:tc>
        <w:tc>
          <w:tcPr>
            <w:tcW w:w="1357" w:type="dxa"/>
            <w:vAlign w:val="center"/>
          </w:tcPr>
          <w:p w14:paraId="0A7AFACA" w14:textId="77777777" w:rsidR="00BB5EAC" w:rsidRPr="00BB5EAC" w:rsidRDefault="00BB5EAC" w:rsidP="00BB5EAC">
            <w:pPr>
              <w:ind w:right="28"/>
              <w:jc w:val="center"/>
              <w:rPr>
                <w:rFonts w:eastAsia="Arial" w:cs="Arial"/>
              </w:rPr>
            </w:pPr>
            <w:r w:rsidRPr="00BB5EAC">
              <w:rPr>
                <w:rFonts w:eastAsia="Arial" w:cs="Arial"/>
              </w:rPr>
              <w:t>£12,000</w:t>
            </w:r>
          </w:p>
        </w:tc>
        <w:tc>
          <w:tcPr>
            <w:tcW w:w="1405" w:type="dxa"/>
            <w:vAlign w:val="center"/>
          </w:tcPr>
          <w:p w14:paraId="2AF3E05D" w14:textId="77777777" w:rsidR="00BB5EAC" w:rsidRPr="00BB5EAC" w:rsidRDefault="005762C3" w:rsidP="00BB5EAC">
            <w:pPr>
              <w:ind w:left="94"/>
              <w:jc w:val="center"/>
              <w:rPr>
                <w:rFonts w:eastAsia="Arial" w:cs="Arial"/>
              </w:rPr>
            </w:pPr>
            <w:r>
              <w:rPr>
                <w:rFonts w:eastAsia="Arial" w:cs="Arial"/>
              </w:rPr>
              <w:t>3/4</w:t>
            </w:r>
          </w:p>
        </w:tc>
        <w:tc>
          <w:tcPr>
            <w:tcW w:w="8868" w:type="dxa"/>
            <w:vAlign w:val="center"/>
          </w:tcPr>
          <w:p w14:paraId="68F3267A" w14:textId="77777777" w:rsidR="00BB5EAC" w:rsidRPr="00BB5EAC" w:rsidRDefault="00BB5EAC" w:rsidP="00903001">
            <w:pPr>
              <w:rPr>
                <w:rFonts w:eastAsia="Arial" w:cs="Arial"/>
              </w:rPr>
            </w:pPr>
            <w:r w:rsidRPr="00BB5EAC">
              <w:rPr>
                <w:rFonts w:eastAsia="Arial" w:cs="Arial"/>
              </w:rPr>
              <w:t>Identified students can have one to one or small group sessions to provide behaviour support where needed.  This ensures students are able to maximise their progress in school as some of their barriers to success are removed.</w:t>
            </w:r>
            <w:r w:rsidR="00655F31">
              <w:rPr>
                <w:rFonts w:eastAsia="Arial" w:cs="Arial"/>
              </w:rPr>
              <w:t xml:space="preserve">  This will not continue in 2019-20 as we have trained some staff ‘in-house’ in this area and are also moving to P4YP (Positive for Young People) for this provision.</w:t>
            </w:r>
          </w:p>
        </w:tc>
        <w:tc>
          <w:tcPr>
            <w:tcW w:w="1231" w:type="dxa"/>
          </w:tcPr>
          <w:p w14:paraId="5317F63A" w14:textId="77777777" w:rsidR="00BB5EAC" w:rsidRPr="00BB5EAC" w:rsidRDefault="00903001" w:rsidP="00BB5EAC">
            <w:pPr>
              <w:jc w:val="center"/>
            </w:pPr>
            <w:r>
              <w:t>No</w:t>
            </w:r>
          </w:p>
        </w:tc>
      </w:tr>
      <w:tr w:rsidR="005762C3" w:rsidRPr="00740367" w14:paraId="73793EB0" w14:textId="77777777" w:rsidTr="00E00B97">
        <w:trPr>
          <w:jc w:val="center"/>
        </w:trPr>
        <w:tc>
          <w:tcPr>
            <w:tcW w:w="2023" w:type="dxa"/>
            <w:shd w:val="clear" w:color="auto" w:fill="FFFFFF" w:themeFill="background1"/>
            <w:vAlign w:val="center"/>
          </w:tcPr>
          <w:p w14:paraId="1FCCE336" w14:textId="77777777" w:rsidR="00BB5EAC" w:rsidRPr="00BB5EAC" w:rsidRDefault="00BB5EAC" w:rsidP="00F831EE">
            <w:pPr>
              <w:spacing w:after="7"/>
              <w:ind w:right="31"/>
              <w:jc w:val="center"/>
              <w:rPr>
                <w:rFonts w:eastAsia="Arial" w:cs="Arial"/>
                <w:color w:val="3F3F3F"/>
              </w:rPr>
            </w:pPr>
            <w:r w:rsidRPr="00BB5EAC">
              <w:rPr>
                <w:rFonts w:eastAsia="Arial" w:cs="Arial"/>
                <w:color w:val="3F3F3F"/>
              </w:rPr>
              <w:t>Contribution to TLRs for Curriculum Leaders/Heads of House</w:t>
            </w:r>
          </w:p>
        </w:tc>
        <w:tc>
          <w:tcPr>
            <w:tcW w:w="1357" w:type="dxa"/>
            <w:shd w:val="clear" w:color="auto" w:fill="FFFFFF" w:themeFill="background1"/>
            <w:vAlign w:val="center"/>
          </w:tcPr>
          <w:p w14:paraId="123554D4" w14:textId="77777777" w:rsidR="00BB5EAC" w:rsidRPr="00BB5EAC" w:rsidRDefault="00BB5EAC" w:rsidP="00E00B97">
            <w:pPr>
              <w:ind w:right="28"/>
              <w:rPr>
                <w:rFonts w:eastAsia="Arial" w:cs="Arial"/>
              </w:rPr>
            </w:pPr>
            <w:r w:rsidRPr="00BB5EAC">
              <w:rPr>
                <w:rFonts w:eastAsia="Arial" w:cs="Arial"/>
              </w:rPr>
              <w:t>£</w:t>
            </w:r>
            <w:r w:rsidR="00CB2A01">
              <w:rPr>
                <w:rFonts w:eastAsia="Arial" w:cs="Arial"/>
              </w:rPr>
              <w:t>25,304.50</w:t>
            </w:r>
          </w:p>
        </w:tc>
        <w:tc>
          <w:tcPr>
            <w:tcW w:w="1405" w:type="dxa"/>
            <w:shd w:val="clear" w:color="auto" w:fill="FFFFFF" w:themeFill="background1"/>
            <w:vAlign w:val="center"/>
          </w:tcPr>
          <w:p w14:paraId="23040410" w14:textId="77777777" w:rsidR="00BB5EAC" w:rsidRPr="00BB5EAC" w:rsidRDefault="00BB5EAC" w:rsidP="00E00B97">
            <w:pPr>
              <w:ind w:left="94"/>
              <w:rPr>
                <w:rFonts w:eastAsia="Arial" w:cs="Arial"/>
              </w:rPr>
            </w:pPr>
            <w:r w:rsidRPr="00BB5EAC">
              <w:rPr>
                <w:rFonts w:eastAsia="Arial" w:cs="Arial"/>
              </w:rPr>
              <w:t>Ongoing</w:t>
            </w:r>
          </w:p>
        </w:tc>
        <w:tc>
          <w:tcPr>
            <w:tcW w:w="8868" w:type="dxa"/>
            <w:shd w:val="clear" w:color="auto" w:fill="FFFFFF" w:themeFill="background1"/>
            <w:vAlign w:val="center"/>
          </w:tcPr>
          <w:p w14:paraId="6C1C9262" w14:textId="0E48FC06" w:rsidR="00BB5EAC" w:rsidRPr="00BB5EAC" w:rsidRDefault="00BB5EAC" w:rsidP="00851248">
            <w:pPr>
              <w:rPr>
                <w:rFonts w:eastAsia="Arial" w:cs="Arial"/>
              </w:rPr>
            </w:pPr>
            <w:r w:rsidRPr="00BB5EAC">
              <w:rPr>
                <w:rFonts w:eastAsia="Arial" w:cs="Arial"/>
              </w:rPr>
              <w:t xml:space="preserve">Curriculum Leaders and Heads of House are required to identify, monitor and evaluate impact of interventions put </w:t>
            </w:r>
            <w:r w:rsidRPr="00010184">
              <w:rPr>
                <w:rFonts w:eastAsia="Arial" w:cs="Arial"/>
              </w:rPr>
              <w:t>in place for identified key students.  These are discussed at</w:t>
            </w:r>
            <w:r w:rsidR="00E00B97" w:rsidRPr="00010184">
              <w:rPr>
                <w:rFonts w:eastAsia="Arial" w:cs="Arial"/>
              </w:rPr>
              <w:t xml:space="preserve"> SLT line management meetings</w:t>
            </w:r>
            <w:r w:rsidR="00851248" w:rsidRPr="00010184">
              <w:rPr>
                <w:rFonts w:eastAsia="Arial" w:cs="Arial"/>
              </w:rPr>
              <w:t xml:space="preserve"> and presented/discussed regularly by Curriculum Leaders and Pastoral Leaders at RIP and Zorba meetings with the senior team.  RIP meetings involve detailed analysis and discussion of a particular Curriculum area or House and Zorba meetings focus on particular students identified for underachievement to identify barriers to learning and strategies to address this.  </w:t>
            </w:r>
            <w:r w:rsidR="001A6E80" w:rsidRPr="00010184">
              <w:rPr>
                <w:rFonts w:eastAsia="Arial" w:cs="Arial"/>
              </w:rPr>
              <w:t xml:space="preserve">In 2018-19 the PP v NPP gap for Progress 8 has narrowed from 0.498 in 2017-18 to </w:t>
            </w:r>
            <w:r w:rsidR="0050525B" w:rsidRPr="00010184">
              <w:rPr>
                <w:rFonts w:eastAsia="Arial" w:cs="Arial"/>
              </w:rPr>
              <w:t>0.362 in 2018-19.</w:t>
            </w:r>
          </w:p>
        </w:tc>
        <w:tc>
          <w:tcPr>
            <w:tcW w:w="1231" w:type="dxa"/>
            <w:shd w:val="clear" w:color="auto" w:fill="FFFFFF" w:themeFill="background1"/>
          </w:tcPr>
          <w:p w14:paraId="1F2898C3" w14:textId="77777777" w:rsidR="00BB5EAC" w:rsidRPr="00BB5EAC" w:rsidRDefault="00BB5EAC" w:rsidP="00E00B97">
            <w:pPr>
              <w:jc w:val="center"/>
            </w:pPr>
            <w:r w:rsidRPr="00BB5EAC">
              <w:t>Yes</w:t>
            </w:r>
          </w:p>
        </w:tc>
      </w:tr>
      <w:tr w:rsidR="005762C3" w:rsidRPr="00740367" w14:paraId="0B35DBB1" w14:textId="77777777" w:rsidTr="00085BC5">
        <w:trPr>
          <w:jc w:val="center"/>
        </w:trPr>
        <w:tc>
          <w:tcPr>
            <w:tcW w:w="2023" w:type="dxa"/>
          </w:tcPr>
          <w:p w14:paraId="0D66DB94" w14:textId="77777777" w:rsidR="00BB5EAC" w:rsidRPr="00A22A90" w:rsidRDefault="00BB5EAC" w:rsidP="00BB5EAC">
            <w:pPr>
              <w:jc w:val="center"/>
              <w:rPr>
                <w:color w:val="000000" w:themeColor="text1"/>
              </w:rPr>
            </w:pPr>
            <w:r>
              <w:rPr>
                <w:color w:val="000000" w:themeColor="text1"/>
              </w:rPr>
              <w:t>Self-supported study (Show my homework subscription)</w:t>
            </w:r>
          </w:p>
        </w:tc>
        <w:tc>
          <w:tcPr>
            <w:tcW w:w="1357" w:type="dxa"/>
          </w:tcPr>
          <w:p w14:paraId="3E027723" w14:textId="77777777" w:rsidR="00BB5EAC" w:rsidRPr="00A22A90" w:rsidRDefault="009E2E22" w:rsidP="00BB5EAC">
            <w:pPr>
              <w:jc w:val="center"/>
              <w:rPr>
                <w:color w:val="000000" w:themeColor="text1"/>
              </w:rPr>
            </w:pPr>
            <w:r>
              <w:rPr>
                <w:color w:val="000000" w:themeColor="text1"/>
              </w:rPr>
              <w:t>£1,500</w:t>
            </w:r>
          </w:p>
          <w:p w14:paraId="7FA1404B" w14:textId="77777777" w:rsidR="00BB5EAC" w:rsidRPr="00A22A90" w:rsidRDefault="00BB5EAC" w:rsidP="00BB5EAC">
            <w:pPr>
              <w:jc w:val="center"/>
              <w:rPr>
                <w:color w:val="000000" w:themeColor="text1"/>
              </w:rPr>
            </w:pPr>
          </w:p>
        </w:tc>
        <w:tc>
          <w:tcPr>
            <w:tcW w:w="1405" w:type="dxa"/>
          </w:tcPr>
          <w:p w14:paraId="682C817E" w14:textId="77777777" w:rsidR="00BB5EAC" w:rsidRPr="00DA56D9" w:rsidRDefault="00BB5EAC" w:rsidP="00BB5EAC">
            <w:pPr>
              <w:jc w:val="center"/>
              <w:rPr>
                <w:color w:val="000000" w:themeColor="text1"/>
              </w:rPr>
            </w:pPr>
            <w:r>
              <w:rPr>
                <w:color w:val="000000" w:themeColor="text1"/>
              </w:rPr>
              <w:t>3/4</w:t>
            </w:r>
          </w:p>
        </w:tc>
        <w:tc>
          <w:tcPr>
            <w:tcW w:w="8868" w:type="dxa"/>
          </w:tcPr>
          <w:p w14:paraId="0E70AF8B" w14:textId="3288D68F" w:rsidR="00BB5EAC" w:rsidRPr="009C26AA" w:rsidRDefault="00BB5EAC" w:rsidP="00EA6D79">
            <w:pPr>
              <w:pStyle w:val="Default"/>
              <w:jc w:val="both"/>
              <w:rPr>
                <w:color w:val="auto"/>
                <w:highlight w:val="yellow"/>
              </w:rPr>
            </w:pPr>
            <w:r w:rsidRPr="00655F31">
              <w:rPr>
                <w:color w:val="auto"/>
                <w:sz w:val="22"/>
                <w:szCs w:val="22"/>
              </w:rPr>
              <w:t xml:space="preserve">Show My Homework supports pupils in tracking and completing their homework. The app enables parents and students to keep track of homework, whilst the technology engages students who may otherwise be reluctant to complete homework. Students who do not have access to computers at home can use the library before, during or after the school day.  </w:t>
            </w:r>
            <w:r w:rsidR="00655F31" w:rsidRPr="00655F31">
              <w:rPr>
                <w:color w:val="auto"/>
                <w:sz w:val="22"/>
                <w:szCs w:val="22"/>
              </w:rPr>
              <w:t xml:space="preserve">5069 homeworks were set last year using SMHW and we have one of the highest </w:t>
            </w:r>
            <w:r w:rsidR="00655F31" w:rsidRPr="00010184">
              <w:rPr>
                <w:color w:val="auto"/>
                <w:sz w:val="22"/>
                <w:szCs w:val="22"/>
              </w:rPr>
              <w:t>teacher engagement rates out of the 1500+ schools who use SMHW.  Student activity is classed as ‘high’ with 92% of students using it last term.  Parental activity is ‘above average’.</w:t>
            </w:r>
            <w:r w:rsidR="00EA6D79" w:rsidRPr="00010184">
              <w:rPr>
                <w:color w:val="auto"/>
                <w:sz w:val="22"/>
                <w:szCs w:val="22"/>
              </w:rPr>
              <w:t xml:space="preserve">  Last year 96% of PP students were active users of SMHW.</w:t>
            </w:r>
          </w:p>
        </w:tc>
        <w:tc>
          <w:tcPr>
            <w:tcW w:w="1231" w:type="dxa"/>
          </w:tcPr>
          <w:p w14:paraId="140B2923" w14:textId="77777777" w:rsidR="00BB5EAC" w:rsidRPr="005A32B5" w:rsidRDefault="00BB5EAC" w:rsidP="00BB5EAC">
            <w:pPr>
              <w:pStyle w:val="Default"/>
              <w:jc w:val="center"/>
              <w:rPr>
                <w:rFonts w:asciiTheme="minorHAnsi" w:hAnsiTheme="minorHAnsi"/>
                <w:color w:val="auto"/>
                <w:sz w:val="22"/>
                <w:szCs w:val="22"/>
              </w:rPr>
            </w:pPr>
            <w:r w:rsidRPr="005A32B5">
              <w:rPr>
                <w:rFonts w:asciiTheme="minorHAnsi" w:hAnsiTheme="minorHAnsi"/>
                <w:color w:val="auto"/>
                <w:sz w:val="22"/>
                <w:szCs w:val="22"/>
              </w:rPr>
              <w:t>Yes</w:t>
            </w:r>
          </w:p>
        </w:tc>
      </w:tr>
      <w:tr w:rsidR="005762C3" w:rsidRPr="00740367" w14:paraId="6BEF7AE2" w14:textId="77777777" w:rsidTr="00085BC5">
        <w:trPr>
          <w:jc w:val="center"/>
        </w:trPr>
        <w:tc>
          <w:tcPr>
            <w:tcW w:w="2023" w:type="dxa"/>
          </w:tcPr>
          <w:p w14:paraId="2C39BCB7" w14:textId="77777777" w:rsidR="00BB5EAC" w:rsidRPr="006637A0" w:rsidRDefault="00BB5EAC" w:rsidP="00BB5EAC">
            <w:pPr>
              <w:jc w:val="center"/>
            </w:pPr>
            <w:r>
              <w:rPr>
                <w:color w:val="000000" w:themeColor="text1"/>
              </w:rPr>
              <w:t>Self-supported study (</w:t>
            </w:r>
            <w:r>
              <w:t>EDL</w:t>
            </w:r>
            <w:r w:rsidRPr="006637A0">
              <w:t>ounge subscription</w:t>
            </w:r>
            <w:r>
              <w:t>)</w:t>
            </w:r>
          </w:p>
        </w:tc>
        <w:tc>
          <w:tcPr>
            <w:tcW w:w="1357" w:type="dxa"/>
          </w:tcPr>
          <w:p w14:paraId="3E0980C9" w14:textId="77777777" w:rsidR="00BB5EAC" w:rsidRPr="006637A0" w:rsidRDefault="009E2E22" w:rsidP="00BB5EAC">
            <w:pPr>
              <w:jc w:val="center"/>
            </w:pPr>
            <w:r>
              <w:t>£7500</w:t>
            </w:r>
          </w:p>
          <w:p w14:paraId="0D9E83BA" w14:textId="77777777" w:rsidR="00BB5EAC" w:rsidRPr="006637A0" w:rsidRDefault="00BB5EAC" w:rsidP="00BB5EAC">
            <w:pPr>
              <w:jc w:val="center"/>
            </w:pPr>
          </w:p>
        </w:tc>
        <w:tc>
          <w:tcPr>
            <w:tcW w:w="1405" w:type="dxa"/>
          </w:tcPr>
          <w:p w14:paraId="15302ED8" w14:textId="77777777" w:rsidR="00BB5EAC" w:rsidRPr="00DA56D9" w:rsidRDefault="00BB5EAC" w:rsidP="00BB5EAC">
            <w:pPr>
              <w:jc w:val="center"/>
              <w:rPr>
                <w:color w:val="000000" w:themeColor="text1"/>
              </w:rPr>
            </w:pPr>
            <w:r>
              <w:rPr>
                <w:color w:val="000000" w:themeColor="text1"/>
              </w:rPr>
              <w:t>3/4</w:t>
            </w:r>
          </w:p>
        </w:tc>
        <w:tc>
          <w:tcPr>
            <w:tcW w:w="8868" w:type="dxa"/>
          </w:tcPr>
          <w:p w14:paraId="7481D7C0" w14:textId="77777777" w:rsidR="00BB5EAC" w:rsidRPr="009C26AA" w:rsidRDefault="002F3E26" w:rsidP="00BB5EAC">
            <w:pPr>
              <w:jc w:val="both"/>
              <w:rPr>
                <w:highlight w:val="yellow"/>
              </w:rPr>
            </w:pPr>
            <w:r>
              <w:t>EDLounge provides work and support for students who are unable to attend lessons, for example when students are removed from lessons due to behaviour issues and spend a period of time in isolation.  So far, this has been a useful tool to ensure students have access to meaningful, appropriate work with support provided.  This was purchased mid-way through the year and so a more detailed impact analysis can take place in 2019/20.</w:t>
            </w:r>
            <w:r w:rsidR="00BB5EAC" w:rsidRPr="002F3E26">
              <w:t xml:space="preserve">  </w:t>
            </w:r>
          </w:p>
        </w:tc>
        <w:tc>
          <w:tcPr>
            <w:tcW w:w="1231" w:type="dxa"/>
          </w:tcPr>
          <w:p w14:paraId="343EE54D" w14:textId="77777777" w:rsidR="00BB5EAC" w:rsidRPr="00740367" w:rsidRDefault="00655F31" w:rsidP="00BB5EAC">
            <w:pPr>
              <w:jc w:val="center"/>
            </w:pPr>
            <w:r>
              <w:t>Yes</w:t>
            </w:r>
          </w:p>
        </w:tc>
      </w:tr>
      <w:tr w:rsidR="005762C3" w:rsidRPr="00740367" w14:paraId="26C4D783" w14:textId="77777777" w:rsidTr="00085BC5">
        <w:trPr>
          <w:jc w:val="center"/>
        </w:trPr>
        <w:tc>
          <w:tcPr>
            <w:tcW w:w="2023" w:type="dxa"/>
          </w:tcPr>
          <w:p w14:paraId="5D4A2DFB" w14:textId="25EEA37A" w:rsidR="00BB5EAC" w:rsidRPr="00D46860" w:rsidRDefault="00BB5EAC" w:rsidP="00BB5EAC">
            <w:pPr>
              <w:jc w:val="center"/>
            </w:pPr>
            <w:r w:rsidRPr="00D46860">
              <w:t>Replenishment of the LRC resources</w:t>
            </w:r>
            <w:r w:rsidR="00432B71">
              <w:t xml:space="preserve"> &amp; DEAR initiative with Y7.</w:t>
            </w:r>
          </w:p>
        </w:tc>
        <w:tc>
          <w:tcPr>
            <w:tcW w:w="1357" w:type="dxa"/>
          </w:tcPr>
          <w:p w14:paraId="01D2D605" w14:textId="77777777" w:rsidR="00BB5EAC" w:rsidRPr="00D46860" w:rsidRDefault="005A32B5" w:rsidP="00BB5EAC">
            <w:pPr>
              <w:jc w:val="center"/>
            </w:pPr>
            <w:r>
              <w:t>£2</w:t>
            </w:r>
            <w:r w:rsidR="00D46860" w:rsidRPr="00D46860">
              <w:t>,000</w:t>
            </w:r>
          </w:p>
          <w:p w14:paraId="10693D82" w14:textId="77777777" w:rsidR="00BB5EAC" w:rsidRPr="00D46860" w:rsidRDefault="00BB5EAC" w:rsidP="00BB5EAC">
            <w:pPr>
              <w:jc w:val="center"/>
            </w:pPr>
          </w:p>
        </w:tc>
        <w:tc>
          <w:tcPr>
            <w:tcW w:w="1405" w:type="dxa"/>
          </w:tcPr>
          <w:p w14:paraId="306966D7" w14:textId="77777777" w:rsidR="00BB5EAC" w:rsidRPr="005D0CA7" w:rsidRDefault="00BB5EAC" w:rsidP="00BB5EAC">
            <w:pPr>
              <w:jc w:val="center"/>
              <w:rPr>
                <w:color w:val="000000" w:themeColor="text1"/>
                <w:highlight w:val="yellow"/>
              </w:rPr>
            </w:pPr>
            <w:r w:rsidRPr="00655F31">
              <w:rPr>
                <w:color w:val="000000" w:themeColor="text1"/>
              </w:rPr>
              <w:t>3/4</w:t>
            </w:r>
          </w:p>
        </w:tc>
        <w:tc>
          <w:tcPr>
            <w:tcW w:w="8868" w:type="dxa"/>
          </w:tcPr>
          <w:p w14:paraId="569B22F1" w14:textId="2F08858A" w:rsidR="00BB5EAC" w:rsidRPr="0087139F" w:rsidRDefault="00BB5EAC" w:rsidP="0087139F">
            <w:pPr>
              <w:pStyle w:val="Default"/>
              <w:jc w:val="both"/>
              <w:rPr>
                <w:color w:val="auto"/>
                <w:sz w:val="22"/>
                <w:szCs w:val="22"/>
                <w:highlight w:val="yellow"/>
              </w:rPr>
            </w:pPr>
            <w:r w:rsidRPr="0087139F">
              <w:rPr>
                <w:color w:val="auto"/>
                <w:sz w:val="22"/>
                <w:szCs w:val="22"/>
              </w:rPr>
              <w:t>Securing stock for LRC to ensure that all pupils have access to appropriate, relevant and challenging materials that engage them in reading and which support literacy devel</w:t>
            </w:r>
            <w:r w:rsidR="00655F31" w:rsidRPr="0087139F">
              <w:rPr>
                <w:color w:val="auto"/>
                <w:sz w:val="22"/>
                <w:szCs w:val="22"/>
              </w:rPr>
              <w:t>opment throughout the academy.</w:t>
            </w:r>
            <w:r w:rsidR="00432B71" w:rsidRPr="0087139F">
              <w:rPr>
                <w:color w:val="auto"/>
                <w:sz w:val="22"/>
                <w:szCs w:val="22"/>
              </w:rPr>
              <w:t xml:space="preserve">  DEAR (Drop Everything And Read) </w:t>
            </w:r>
            <w:r w:rsidR="0087139F">
              <w:rPr>
                <w:color w:val="auto"/>
                <w:sz w:val="22"/>
                <w:szCs w:val="22"/>
              </w:rPr>
              <w:t>was</w:t>
            </w:r>
            <w:r w:rsidR="00432B71" w:rsidRPr="0087139F">
              <w:rPr>
                <w:color w:val="auto"/>
                <w:sz w:val="22"/>
                <w:szCs w:val="22"/>
              </w:rPr>
              <w:t xml:space="preserve"> introduced with Y7 </w:t>
            </w:r>
            <w:r w:rsidR="0087139F">
              <w:rPr>
                <w:color w:val="auto"/>
                <w:sz w:val="22"/>
                <w:szCs w:val="22"/>
              </w:rPr>
              <w:t>last</w:t>
            </w:r>
            <w:r w:rsidR="00432B71" w:rsidRPr="0087139F">
              <w:rPr>
                <w:color w:val="auto"/>
                <w:sz w:val="22"/>
                <w:szCs w:val="22"/>
              </w:rPr>
              <w:t xml:space="preserve"> year where students spend 15 minutes every day reading their own reading book on a carousel basis during a different lesson each day.</w:t>
            </w:r>
            <w:r w:rsidR="00152C9E" w:rsidRPr="0087139F">
              <w:rPr>
                <w:color w:val="auto"/>
                <w:sz w:val="22"/>
                <w:szCs w:val="22"/>
              </w:rPr>
              <w:t xml:space="preserve"> </w:t>
            </w:r>
            <w:r w:rsidR="00152C9E" w:rsidRPr="0087139F">
              <w:rPr>
                <w:sz w:val="22"/>
                <w:szCs w:val="22"/>
              </w:rPr>
              <w:t xml:space="preserve"> ARTi results last year show that on average, Year 7 increased their reading age by 13.2 months in 4 months.  The use of DEAR also meant 100% of Y7 students loaned books regularly from the library last year.</w:t>
            </w:r>
          </w:p>
        </w:tc>
        <w:tc>
          <w:tcPr>
            <w:tcW w:w="1231" w:type="dxa"/>
          </w:tcPr>
          <w:p w14:paraId="1898536A" w14:textId="77777777" w:rsidR="00BB5EAC" w:rsidRPr="00740367" w:rsidRDefault="00655F31" w:rsidP="00BB5EAC">
            <w:pPr>
              <w:pStyle w:val="Default"/>
              <w:jc w:val="center"/>
              <w:rPr>
                <w:color w:val="auto"/>
                <w:sz w:val="22"/>
                <w:szCs w:val="22"/>
              </w:rPr>
            </w:pPr>
            <w:r>
              <w:rPr>
                <w:color w:val="auto"/>
              </w:rPr>
              <w:t>Yes</w:t>
            </w:r>
          </w:p>
        </w:tc>
      </w:tr>
      <w:tr w:rsidR="005762C3" w:rsidRPr="00740367" w14:paraId="58F19B27" w14:textId="77777777" w:rsidTr="00085BC5">
        <w:trPr>
          <w:jc w:val="center"/>
        </w:trPr>
        <w:tc>
          <w:tcPr>
            <w:tcW w:w="2023" w:type="dxa"/>
          </w:tcPr>
          <w:p w14:paraId="688C736F" w14:textId="77777777" w:rsidR="00BB5EAC" w:rsidRPr="009E2E22" w:rsidRDefault="00BB5EAC" w:rsidP="00BB5EAC">
            <w:pPr>
              <w:jc w:val="center"/>
            </w:pPr>
            <w:r w:rsidRPr="009E2E22">
              <w:t>Biometric system</w:t>
            </w:r>
            <w:r w:rsidR="009E2E22" w:rsidRPr="009E2E22">
              <w:t>/School Gateway</w:t>
            </w:r>
          </w:p>
        </w:tc>
        <w:tc>
          <w:tcPr>
            <w:tcW w:w="1357" w:type="dxa"/>
          </w:tcPr>
          <w:p w14:paraId="6F356807" w14:textId="77777777" w:rsidR="00BB5EAC" w:rsidRPr="009E2E22" w:rsidRDefault="009E2E22" w:rsidP="00BB5EAC">
            <w:pPr>
              <w:jc w:val="center"/>
            </w:pPr>
            <w:r w:rsidRPr="009E2E22">
              <w:t>£2,897</w:t>
            </w:r>
          </w:p>
          <w:p w14:paraId="6EE4B44C" w14:textId="77777777" w:rsidR="00BB5EAC" w:rsidRPr="009E2E22" w:rsidRDefault="00BB5EAC" w:rsidP="00BB5EAC">
            <w:pPr>
              <w:jc w:val="center"/>
            </w:pPr>
          </w:p>
        </w:tc>
        <w:tc>
          <w:tcPr>
            <w:tcW w:w="1405" w:type="dxa"/>
            <w:shd w:val="clear" w:color="auto" w:fill="auto"/>
          </w:tcPr>
          <w:p w14:paraId="56E5CD35" w14:textId="77777777" w:rsidR="00BB5EAC" w:rsidRPr="005D0CA7" w:rsidRDefault="00BB5EAC" w:rsidP="00BB5EAC">
            <w:pPr>
              <w:jc w:val="center"/>
              <w:rPr>
                <w:highlight w:val="yellow"/>
              </w:rPr>
            </w:pPr>
            <w:r w:rsidRPr="00655F31">
              <w:t>3/4</w:t>
            </w:r>
          </w:p>
        </w:tc>
        <w:tc>
          <w:tcPr>
            <w:tcW w:w="8868" w:type="dxa"/>
          </w:tcPr>
          <w:p w14:paraId="48FE3EFF" w14:textId="77777777" w:rsidR="00BB5EAC" w:rsidRPr="009C26AA" w:rsidRDefault="00BB5EAC" w:rsidP="00BB5EAC">
            <w:pPr>
              <w:pStyle w:val="Default"/>
              <w:jc w:val="both"/>
              <w:rPr>
                <w:color w:val="auto"/>
                <w:highlight w:val="yellow"/>
              </w:rPr>
            </w:pPr>
            <w:r w:rsidRPr="00655F31">
              <w:rPr>
                <w:color w:val="auto"/>
                <w:sz w:val="22"/>
                <w:szCs w:val="22"/>
              </w:rPr>
              <w:t>Biometrics system upkeep – deployment of this technology removes the stigma of pupils receiving FSM and encourages both sign-up for FSM and uptake of the meals themselves. The system continues to work we</w:t>
            </w:r>
            <w:r w:rsidR="00655F31" w:rsidRPr="00655F31">
              <w:rPr>
                <w:color w:val="auto"/>
                <w:sz w:val="22"/>
                <w:szCs w:val="22"/>
              </w:rPr>
              <w:t>ll and will be continued in 2019/20</w:t>
            </w:r>
            <w:r w:rsidRPr="00655F31">
              <w:rPr>
                <w:color w:val="auto"/>
                <w:sz w:val="22"/>
                <w:szCs w:val="22"/>
              </w:rPr>
              <w:t xml:space="preserve">. </w:t>
            </w:r>
          </w:p>
        </w:tc>
        <w:tc>
          <w:tcPr>
            <w:tcW w:w="1231" w:type="dxa"/>
          </w:tcPr>
          <w:p w14:paraId="5CC3A72F" w14:textId="77777777" w:rsidR="00BB5EAC" w:rsidRPr="00740367" w:rsidRDefault="00BB5EAC" w:rsidP="00BB5EAC">
            <w:pPr>
              <w:pStyle w:val="Default"/>
              <w:jc w:val="center"/>
              <w:rPr>
                <w:color w:val="auto"/>
                <w:sz w:val="22"/>
                <w:szCs w:val="22"/>
              </w:rPr>
            </w:pPr>
            <w:r w:rsidRPr="00740367">
              <w:rPr>
                <w:color w:val="auto"/>
              </w:rPr>
              <w:t>Yes</w:t>
            </w:r>
          </w:p>
        </w:tc>
      </w:tr>
      <w:tr w:rsidR="005762C3" w:rsidRPr="00740367" w14:paraId="1B598412" w14:textId="77777777" w:rsidTr="00085BC5">
        <w:trPr>
          <w:jc w:val="center"/>
        </w:trPr>
        <w:tc>
          <w:tcPr>
            <w:tcW w:w="2023" w:type="dxa"/>
          </w:tcPr>
          <w:p w14:paraId="47DA0248" w14:textId="77777777" w:rsidR="00BB5EAC" w:rsidRPr="00D46860" w:rsidRDefault="00BB5EAC" w:rsidP="00BB5EAC">
            <w:pPr>
              <w:jc w:val="center"/>
            </w:pPr>
            <w:r w:rsidRPr="00D46860">
              <w:t>Developing teaching</w:t>
            </w:r>
          </w:p>
        </w:tc>
        <w:tc>
          <w:tcPr>
            <w:tcW w:w="1357" w:type="dxa"/>
          </w:tcPr>
          <w:p w14:paraId="11965934" w14:textId="77777777" w:rsidR="00903001" w:rsidRPr="00D46860" w:rsidRDefault="00CB2A01" w:rsidP="00BB5EAC">
            <w:pPr>
              <w:jc w:val="center"/>
            </w:pPr>
            <w:r>
              <w:t>£22,000</w:t>
            </w:r>
          </w:p>
          <w:p w14:paraId="4FE8D996" w14:textId="77777777" w:rsidR="00BB5EAC" w:rsidRPr="00D46860" w:rsidRDefault="00BB5EAC" w:rsidP="00BB5EAC">
            <w:pPr>
              <w:jc w:val="center"/>
            </w:pPr>
          </w:p>
        </w:tc>
        <w:tc>
          <w:tcPr>
            <w:tcW w:w="1405" w:type="dxa"/>
            <w:shd w:val="clear" w:color="auto" w:fill="auto"/>
          </w:tcPr>
          <w:p w14:paraId="32F02416" w14:textId="77777777" w:rsidR="00BB5EAC" w:rsidRPr="00D46860" w:rsidRDefault="00BB5EAC" w:rsidP="00BB5EAC">
            <w:pPr>
              <w:jc w:val="center"/>
            </w:pPr>
            <w:r w:rsidRPr="00D46860">
              <w:t>3/4</w:t>
            </w:r>
          </w:p>
        </w:tc>
        <w:tc>
          <w:tcPr>
            <w:tcW w:w="8868" w:type="dxa"/>
          </w:tcPr>
          <w:p w14:paraId="41A53C9B" w14:textId="20E0A035" w:rsidR="00BB5EAC" w:rsidRPr="009C26AA" w:rsidRDefault="00BB5EAC" w:rsidP="001A6E80">
            <w:pPr>
              <w:pStyle w:val="Default"/>
              <w:jc w:val="both"/>
              <w:rPr>
                <w:color w:val="auto"/>
                <w:sz w:val="22"/>
                <w:szCs w:val="22"/>
                <w:highlight w:val="yellow"/>
              </w:rPr>
            </w:pPr>
            <w:r w:rsidRPr="00881695">
              <w:rPr>
                <w:color w:val="auto"/>
                <w:sz w:val="22"/>
                <w:szCs w:val="22"/>
              </w:rPr>
              <w:t xml:space="preserve">Staff at </w:t>
            </w:r>
            <w:r w:rsidR="007944FB" w:rsidRPr="00881695">
              <w:rPr>
                <w:color w:val="auto"/>
                <w:sz w:val="22"/>
                <w:szCs w:val="22"/>
              </w:rPr>
              <w:t>Bolsover accessed</w:t>
            </w:r>
            <w:r w:rsidRPr="00881695">
              <w:rPr>
                <w:color w:val="auto"/>
                <w:sz w:val="22"/>
                <w:szCs w:val="22"/>
              </w:rPr>
              <w:t xml:space="preserve"> a wide range of CPD programmes aimed at developing teaching staff in terms of T&amp;L plus leadership development CPD such as aspirant middle and senior leadership programmes (through our membership of the Redhill Teaching School Alliance). In addition, Redhill Trust joint INSET attendance for all teaching and support staff helped to further develop school T&amp;L; systems and processes. Progress 8 </w:t>
            </w:r>
            <w:r w:rsidR="00881695" w:rsidRPr="00881695">
              <w:rPr>
                <w:color w:val="auto"/>
                <w:sz w:val="22"/>
                <w:szCs w:val="22"/>
              </w:rPr>
              <w:t xml:space="preserve">has risen from -0.639 in 2017-18 to -0.356 in 2018-19 for all students with the PP gap </w:t>
            </w:r>
            <w:r w:rsidR="001A6E80">
              <w:rPr>
                <w:color w:val="auto"/>
                <w:sz w:val="22"/>
                <w:szCs w:val="22"/>
              </w:rPr>
              <w:t>narrowing</w:t>
            </w:r>
            <w:r w:rsidR="00881695" w:rsidRPr="00881695">
              <w:rPr>
                <w:color w:val="auto"/>
                <w:sz w:val="22"/>
                <w:szCs w:val="22"/>
              </w:rPr>
              <w:t xml:space="preserve"> from 0.498 to 0.364 in the same period. </w:t>
            </w:r>
            <w:r w:rsidRPr="00881695">
              <w:rPr>
                <w:color w:val="auto"/>
                <w:sz w:val="22"/>
                <w:szCs w:val="22"/>
              </w:rPr>
              <w:t xml:space="preserve"> With continued CPD for all staff, the is scope to further increase this value in future years. </w:t>
            </w:r>
          </w:p>
        </w:tc>
        <w:tc>
          <w:tcPr>
            <w:tcW w:w="1231" w:type="dxa"/>
          </w:tcPr>
          <w:p w14:paraId="7B12CD43" w14:textId="77777777" w:rsidR="00BB5EAC" w:rsidRPr="00740367" w:rsidRDefault="00BB5EAC" w:rsidP="00BB5EAC">
            <w:pPr>
              <w:pStyle w:val="Default"/>
              <w:jc w:val="center"/>
              <w:rPr>
                <w:color w:val="auto"/>
                <w:sz w:val="22"/>
                <w:szCs w:val="22"/>
              </w:rPr>
            </w:pPr>
            <w:r w:rsidRPr="00740367">
              <w:rPr>
                <w:color w:val="auto"/>
              </w:rPr>
              <w:t>Yes</w:t>
            </w:r>
          </w:p>
        </w:tc>
      </w:tr>
    </w:tbl>
    <w:p w14:paraId="31237B12" w14:textId="25F693C8" w:rsidR="00897F08" w:rsidRDefault="00897F08">
      <w:pPr>
        <w:rPr>
          <w:b/>
          <w:sz w:val="24"/>
        </w:rPr>
      </w:pPr>
    </w:p>
    <w:sectPr w:rsidR="00897F08" w:rsidSect="00874F97">
      <w:headerReference w:type="default" r:id="rId36"/>
      <w:footerReference w:type="default" r:id="rId37"/>
      <w:pgSz w:w="16838" w:h="11906" w:orient="landscape"/>
      <w:pgMar w:top="709"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603A2" w14:textId="77777777" w:rsidR="00F24035" w:rsidRDefault="00F24035" w:rsidP="001A55DD">
      <w:pPr>
        <w:spacing w:after="0" w:line="240" w:lineRule="auto"/>
      </w:pPr>
      <w:r>
        <w:separator/>
      </w:r>
    </w:p>
  </w:endnote>
  <w:endnote w:type="continuationSeparator" w:id="0">
    <w:p w14:paraId="5ED1F2A4" w14:textId="77777777" w:rsidR="00F24035" w:rsidRDefault="00F24035" w:rsidP="001A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40126"/>
      <w:docPartObj>
        <w:docPartGallery w:val="Page Numbers (Bottom of Page)"/>
        <w:docPartUnique/>
      </w:docPartObj>
    </w:sdtPr>
    <w:sdtEndPr>
      <w:rPr>
        <w:noProof/>
      </w:rPr>
    </w:sdtEndPr>
    <w:sdtContent>
      <w:p w14:paraId="14F6BD41" w14:textId="3C172B94" w:rsidR="00620449" w:rsidRDefault="00620449">
        <w:pPr>
          <w:pStyle w:val="Footer"/>
          <w:jc w:val="center"/>
        </w:pPr>
        <w:r>
          <w:fldChar w:fldCharType="begin"/>
        </w:r>
        <w:r>
          <w:instrText xml:space="preserve"> PAGE   \* MERGEFORMAT </w:instrText>
        </w:r>
        <w:r>
          <w:fldChar w:fldCharType="separate"/>
        </w:r>
        <w:r w:rsidR="00852ABC">
          <w:rPr>
            <w:noProof/>
          </w:rPr>
          <w:t>2</w:t>
        </w:r>
        <w:r>
          <w:rPr>
            <w:noProof/>
          </w:rPr>
          <w:fldChar w:fldCharType="end"/>
        </w:r>
      </w:p>
    </w:sdtContent>
  </w:sdt>
  <w:p w14:paraId="58C73609" w14:textId="77777777" w:rsidR="00620449" w:rsidRDefault="00620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5FFA" w14:textId="77777777" w:rsidR="00F24035" w:rsidRDefault="00F24035" w:rsidP="001A55DD">
      <w:pPr>
        <w:spacing w:after="0" w:line="240" w:lineRule="auto"/>
      </w:pPr>
      <w:r>
        <w:separator/>
      </w:r>
    </w:p>
  </w:footnote>
  <w:footnote w:type="continuationSeparator" w:id="0">
    <w:p w14:paraId="4EBEC5BF" w14:textId="77777777" w:rsidR="00F24035" w:rsidRDefault="00F24035" w:rsidP="001A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FA11" w14:textId="77777777" w:rsidR="00620449" w:rsidRPr="001A55DD" w:rsidRDefault="00620449" w:rsidP="00F50713">
    <w:pPr>
      <w:pStyle w:val="Header"/>
      <w:rPr>
        <w:b/>
        <w:sz w:val="24"/>
      </w:rPr>
    </w:pPr>
  </w:p>
  <w:p w14:paraId="32D5213D" w14:textId="77777777" w:rsidR="00620449" w:rsidRDefault="006204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09"/>
    <w:multiLevelType w:val="hybridMultilevel"/>
    <w:tmpl w:val="F222C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04497"/>
    <w:multiLevelType w:val="multilevel"/>
    <w:tmpl w:val="54A8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61D21"/>
    <w:multiLevelType w:val="hybridMultilevel"/>
    <w:tmpl w:val="FBBE2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21EDC"/>
    <w:multiLevelType w:val="hybridMultilevel"/>
    <w:tmpl w:val="15DC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ED1BEB"/>
    <w:multiLevelType w:val="hybridMultilevel"/>
    <w:tmpl w:val="85185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742C22"/>
    <w:multiLevelType w:val="hybridMultilevel"/>
    <w:tmpl w:val="AB5C86C2"/>
    <w:lvl w:ilvl="0" w:tplc="A5E260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F74867"/>
    <w:multiLevelType w:val="hybridMultilevel"/>
    <w:tmpl w:val="0FF4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14EFB"/>
    <w:multiLevelType w:val="hybridMultilevel"/>
    <w:tmpl w:val="6564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BA602B"/>
    <w:multiLevelType w:val="hybridMultilevel"/>
    <w:tmpl w:val="1B783276"/>
    <w:lvl w:ilvl="0" w:tplc="A5E260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6B29B2"/>
    <w:multiLevelType w:val="hybridMultilevel"/>
    <w:tmpl w:val="89F8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1E73BB"/>
    <w:multiLevelType w:val="hybridMultilevel"/>
    <w:tmpl w:val="6032E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C2233"/>
    <w:multiLevelType w:val="hybridMultilevel"/>
    <w:tmpl w:val="6E844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4154C4"/>
    <w:multiLevelType w:val="hybridMultilevel"/>
    <w:tmpl w:val="0F14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AE5785"/>
    <w:multiLevelType w:val="hybridMultilevel"/>
    <w:tmpl w:val="A794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EC294E"/>
    <w:multiLevelType w:val="hybridMultilevel"/>
    <w:tmpl w:val="2E721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E262DA"/>
    <w:multiLevelType w:val="multilevel"/>
    <w:tmpl w:val="112C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2"/>
  </w:num>
  <w:num w:numId="5">
    <w:abstractNumId w:val="4"/>
  </w:num>
  <w:num w:numId="6">
    <w:abstractNumId w:val="6"/>
  </w:num>
  <w:num w:numId="7">
    <w:abstractNumId w:val="5"/>
  </w:num>
  <w:num w:numId="8">
    <w:abstractNumId w:val="8"/>
  </w:num>
  <w:num w:numId="9">
    <w:abstractNumId w:val="12"/>
  </w:num>
  <w:num w:numId="10">
    <w:abstractNumId w:val="0"/>
  </w:num>
  <w:num w:numId="11">
    <w:abstractNumId w:val="11"/>
  </w:num>
  <w:num w:numId="12">
    <w:abstractNumId w:val="15"/>
  </w:num>
  <w:num w:numId="13">
    <w:abstractNumId w:val="13"/>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4B"/>
    <w:rsid w:val="00000C07"/>
    <w:rsid w:val="00001D99"/>
    <w:rsid w:val="00010184"/>
    <w:rsid w:val="00010B22"/>
    <w:rsid w:val="000112A2"/>
    <w:rsid w:val="00013089"/>
    <w:rsid w:val="00014583"/>
    <w:rsid w:val="000161D0"/>
    <w:rsid w:val="0001624E"/>
    <w:rsid w:val="00023107"/>
    <w:rsid w:val="0002318B"/>
    <w:rsid w:val="000256AF"/>
    <w:rsid w:val="00025A16"/>
    <w:rsid w:val="000269AA"/>
    <w:rsid w:val="00030789"/>
    <w:rsid w:val="00042C86"/>
    <w:rsid w:val="00042DFE"/>
    <w:rsid w:val="0004434B"/>
    <w:rsid w:val="00044ED5"/>
    <w:rsid w:val="00050810"/>
    <w:rsid w:val="00051717"/>
    <w:rsid w:val="00052EC8"/>
    <w:rsid w:val="00060EC5"/>
    <w:rsid w:val="00061C4C"/>
    <w:rsid w:val="00062D57"/>
    <w:rsid w:val="000644B7"/>
    <w:rsid w:val="00064E45"/>
    <w:rsid w:val="00065458"/>
    <w:rsid w:val="000670ED"/>
    <w:rsid w:val="000707D0"/>
    <w:rsid w:val="000824B7"/>
    <w:rsid w:val="000836F7"/>
    <w:rsid w:val="00084448"/>
    <w:rsid w:val="00085274"/>
    <w:rsid w:val="00085BC5"/>
    <w:rsid w:val="00086240"/>
    <w:rsid w:val="00086558"/>
    <w:rsid w:val="00086A94"/>
    <w:rsid w:val="00086D22"/>
    <w:rsid w:val="000871E0"/>
    <w:rsid w:val="00090BC1"/>
    <w:rsid w:val="00092D15"/>
    <w:rsid w:val="00097563"/>
    <w:rsid w:val="000A58A7"/>
    <w:rsid w:val="000A6A3C"/>
    <w:rsid w:val="000A7874"/>
    <w:rsid w:val="000B128D"/>
    <w:rsid w:val="000B2A4B"/>
    <w:rsid w:val="000B588C"/>
    <w:rsid w:val="000B73E1"/>
    <w:rsid w:val="000C06EF"/>
    <w:rsid w:val="000C1A45"/>
    <w:rsid w:val="000C1E1C"/>
    <w:rsid w:val="000C2874"/>
    <w:rsid w:val="000C39E8"/>
    <w:rsid w:val="000C53BA"/>
    <w:rsid w:val="000C7425"/>
    <w:rsid w:val="000D27F5"/>
    <w:rsid w:val="000D303E"/>
    <w:rsid w:val="000D3FE7"/>
    <w:rsid w:val="000E1478"/>
    <w:rsid w:val="000E59A7"/>
    <w:rsid w:val="000F0130"/>
    <w:rsid w:val="000F0288"/>
    <w:rsid w:val="000F664A"/>
    <w:rsid w:val="001008A2"/>
    <w:rsid w:val="00101C2E"/>
    <w:rsid w:val="00104A97"/>
    <w:rsid w:val="00107243"/>
    <w:rsid w:val="001124F1"/>
    <w:rsid w:val="00117815"/>
    <w:rsid w:val="00122C9D"/>
    <w:rsid w:val="00124E0A"/>
    <w:rsid w:val="00130359"/>
    <w:rsid w:val="00130C4A"/>
    <w:rsid w:val="00131148"/>
    <w:rsid w:val="0013189E"/>
    <w:rsid w:val="00132716"/>
    <w:rsid w:val="001342C8"/>
    <w:rsid w:val="00134E56"/>
    <w:rsid w:val="0013733E"/>
    <w:rsid w:val="00146B89"/>
    <w:rsid w:val="00150E61"/>
    <w:rsid w:val="0015183B"/>
    <w:rsid w:val="00151F36"/>
    <w:rsid w:val="00152C9E"/>
    <w:rsid w:val="001542A8"/>
    <w:rsid w:val="00154852"/>
    <w:rsid w:val="00154E5F"/>
    <w:rsid w:val="00155F15"/>
    <w:rsid w:val="00160E8E"/>
    <w:rsid w:val="001618E7"/>
    <w:rsid w:val="00165334"/>
    <w:rsid w:val="00170A9A"/>
    <w:rsid w:val="001744AB"/>
    <w:rsid w:val="00182BF7"/>
    <w:rsid w:val="001930EC"/>
    <w:rsid w:val="001956C4"/>
    <w:rsid w:val="00195F59"/>
    <w:rsid w:val="00196C35"/>
    <w:rsid w:val="00197AEE"/>
    <w:rsid w:val="001A00B1"/>
    <w:rsid w:val="001A226F"/>
    <w:rsid w:val="001A4894"/>
    <w:rsid w:val="001A50CE"/>
    <w:rsid w:val="001A5434"/>
    <w:rsid w:val="001A55DD"/>
    <w:rsid w:val="001A6E80"/>
    <w:rsid w:val="001A74E3"/>
    <w:rsid w:val="001B3CE9"/>
    <w:rsid w:val="001B69BF"/>
    <w:rsid w:val="001B73CB"/>
    <w:rsid w:val="001C1F77"/>
    <w:rsid w:val="001C25DF"/>
    <w:rsid w:val="001C2F82"/>
    <w:rsid w:val="001C5FDA"/>
    <w:rsid w:val="001C78AC"/>
    <w:rsid w:val="001D5052"/>
    <w:rsid w:val="001D5F05"/>
    <w:rsid w:val="001D6C4F"/>
    <w:rsid w:val="001D7D03"/>
    <w:rsid w:val="001D7E58"/>
    <w:rsid w:val="001E0328"/>
    <w:rsid w:val="001E20D3"/>
    <w:rsid w:val="001E2136"/>
    <w:rsid w:val="001E28AC"/>
    <w:rsid w:val="001E2F41"/>
    <w:rsid w:val="001E34B3"/>
    <w:rsid w:val="001E4653"/>
    <w:rsid w:val="001E55B0"/>
    <w:rsid w:val="001E7F3F"/>
    <w:rsid w:val="001F0F87"/>
    <w:rsid w:val="001F0FFC"/>
    <w:rsid w:val="001F3D7F"/>
    <w:rsid w:val="001F46F6"/>
    <w:rsid w:val="001F5370"/>
    <w:rsid w:val="00206497"/>
    <w:rsid w:val="00211005"/>
    <w:rsid w:val="00213073"/>
    <w:rsid w:val="00215E82"/>
    <w:rsid w:val="00216972"/>
    <w:rsid w:val="00220B4C"/>
    <w:rsid w:val="00226B8A"/>
    <w:rsid w:val="00226D1C"/>
    <w:rsid w:val="002317A9"/>
    <w:rsid w:val="002332B3"/>
    <w:rsid w:val="002350A0"/>
    <w:rsid w:val="00241639"/>
    <w:rsid w:val="002439B5"/>
    <w:rsid w:val="00245C9C"/>
    <w:rsid w:val="002472EE"/>
    <w:rsid w:val="00260432"/>
    <w:rsid w:val="00261146"/>
    <w:rsid w:val="0026239D"/>
    <w:rsid w:val="00263C82"/>
    <w:rsid w:val="002648B6"/>
    <w:rsid w:val="00266780"/>
    <w:rsid w:val="0026775C"/>
    <w:rsid w:val="00267BEA"/>
    <w:rsid w:val="00267F9A"/>
    <w:rsid w:val="00271182"/>
    <w:rsid w:val="0027443F"/>
    <w:rsid w:val="00274638"/>
    <w:rsid w:val="00277357"/>
    <w:rsid w:val="00285E9B"/>
    <w:rsid w:val="00287379"/>
    <w:rsid w:val="00292962"/>
    <w:rsid w:val="00293801"/>
    <w:rsid w:val="00296E47"/>
    <w:rsid w:val="00297E65"/>
    <w:rsid w:val="002A1590"/>
    <w:rsid w:val="002A57CE"/>
    <w:rsid w:val="002B2CEC"/>
    <w:rsid w:val="002B3B32"/>
    <w:rsid w:val="002B4070"/>
    <w:rsid w:val="002B5930"/>
    <w:rsid w:val="002B74C0"/>
    <w:rsid w:val="002C2436"/>
    <w:rsid w:val="002D0466"/>
    <w:rsid w:val="002D49DE"/>
    <w:rsid w:val="002D726B"/>
    <w:rsid w:val="002D7276"/>
    <w:rsid w:val="002E3E24"/>
    <w:rsid w:val="002E48B1"/>
    <w:rsid w:val="002E5FA6"/>
    <w:rsid w:val="002E799B"/>
    <w:rsid w:val="002E7F8D"/>
    <w:rsid w:val="002F0B7F"/>
    <w:rsid w:val="002F18F1"/>
    <w:rsid w:val="002F38FE"/>
    <w:rsid w:val="002F3E26"/>
    <w:rsid w:val="002F7771"/>
    <w:rsid w:val="002F7DA9"/>
    <w:rsid w:val="003017C0"/>
    <w:rsid w:val="003038A5"/>
    <w:rsid w:val="00305287"/>
    <w:rsid w:val="00307070"/>
    <w:rsid w:val="003074B6"/>
    <w:rsid w:val="0031213D"/>
    <w:rsid w:val="00316DE5"/>
    <w:rsid w:val="00316EA2"/>
    <w:rsid w:val="00322E6E"/>
    <w:rsid w:val="00323F8C"/>
    <w:rsid w:val="00325222"/>
    <w:rsid w:val="00330270"/>
    <w:rsid w:val="0033405B"/>
    <w:rsid w:val="00335610"/>
    <w:rsid w:val="0034253A"/>
    <w:rsid w:val="00342BA9"/>
    <w:rsid w:val="00343F45"/>
    <w:rsid w:val="00351661"/>
    <w:rsid w:val="00353A06"/>
    <w:rsid w:val="00353AE6"/>
    <w:rsid w:val="00353F22"/>
    <w:rsid w:val="00355C37"/>
    <w:rsid w:val="003568AC"/>
    <w:rsid w:val="00370346"/>
    <w:rsid w:val="00370924"/>
    <w:rsid w:val="003725DC"/>
    <w:rsid w:val="00374AC9"/>
    <w:rsid w:val="0038281D"/>
    <w:rsid w:val="00383763"/>
    <w:rsid w:val="00386950"/>
    <w:rsid w:val="003934AC"/>
    <w:rsid w:val="00395AB4"/>
    <w:rsid w:val="003A3765"/>
    <w:rsid w:val="003B365B"/>
    <w:rsid w:val="003B4A9E"/>
    <w:rsid w:val="003B4D22"/>
    <w:rsid w:val="003C0BCD"/>
    <w:rsid w:val="003C30B0"/>
    <w:rsid w:val="003C39E4"/>
    <w:rsid w:val="003C4854"/>
    <w:rsid w:val="003C7258"/>
    <w:rsid w:val="003C74A7"/>
    <w:rsid w:val="003D18FE"/>
    <w:rsid w:val="003D1CF1"/>
    <w:rsid w:val="003D2044"/>
    <w:rsid w:val="003D2644"/>
    <w:rsid w:val="003D283D"/>
    <w:rsid w:val="003D3EE8"/>
    <w:rsid w:val="003D4D02"/>
    <w:rsid w:val="003D68FD"/>
    <w:rsid w:val="003D74E9"/>
    <w:rsid w:val="003E3EC1"/>
    <w:rsid w:val="003E430A"/>
    <w:rsid w:val="003E4F3E"/>
    <w:rsid w:val="003E505B"/>
    <w:rsid w:val="003E76A6"/>
    <w:rsid w:val="003F2735"/>
    <w:rsid w:val="00400908"/>
    <w:rsid w:val="00400B66"/>
    <w:rsid w:val="00402076"/>
    <w:rsid w:val="00405923"/>
    <w:rsid w:val="00406BA7"/>
    <w:rsid w:val="00406C46"/>
    <w:rsid w:val="0040794F"/>
    <w:rsid w:val="00410B0F"/>
    <w:rsid w:val="00410F42"/>
    <w:rsid w:val="004212F1"/>
    <w:rsid w:val="0042279F"/>
    <w:rsid w:val="004304B5"/>
    <w:rsid w:val="004325BE"/>
    <w:rsid w:val="00432B71"/>
    <w:rsid w:val="004453FE"/>
    <w:rsid w:val="004457CA"/>
    <w:rsid w:val="00445D04"/>
    <w:rsid w:val="004500A7"/>
    <w:rsid w:val="00453974"/>
    <w:rsid w:val="0045765B"/>
    <w:rsid w:val="00457693"/>
    <w:rsid w:val="004603DB"/>
    <w:rsid w:val="00467AB1"/>
    <w:rsid w:val="00471304"/>
    <w:rsid w:val="00473698"/>
    <w:rsid w:val="00475D85"/>
    <w:rsid w:val="00482B58"/>
    <w:rsid w:val="0049396B"/>
    <w:rsid w:val="004A112A"/>
    <w:rsid w:val="004A67F3"/>
    <w:rsid w:val="004A692A"/>
    <w:rsid w:val="004A7B4D"/>
    <w:rsid w:val="004B4969"/>
    <w:rsid w:val="004B626B"/>
    <w:rsid w:val="004B734E"/>
    <w:rsid w:val="004C089C"/>
    <w:rsid w:val="004C26FF"/>
    <w:rsid w:val="004C6EEB"/>
    <w:rsid w:val="004D089E"/>
    <w:rsid w:val="004D43D1"/>
    <w:rsid w:val="004D4808"/>
    <w:rsid w:val="004D48A3"/>
    <w:rsid w:val="004D4A31"/>
    <w:rsid w:val="004D6BA2"/>
    <w:rsid w:val="004E0E90"/>
    <w:rsid w:val="004E31B7"/>
    <w:rsid w:val="004E4FB0"/>
    <w:rsid w:val="004E5A88"/>
    <w:rsid w:val="004E637B"/>
    <w:rsid w:val="004E6FFC"/>
    <w:rsid w:val="004E7E04"/>
    <w:rsid w:val="004F31CE"/>
    <w:rsid w:val="004F52DC"/>
    <w:rsid w:val="004F583D"/>
    <w:rsid w:val="004F6188"/>
    <w:rsid w:val="005005AB"/>
    <w:rsid w:val="0050525B"/>
    <w:rsid w:val="00506141"/>
    <w:rsid w:val="00512714"/>
    <w:rsid w:val="00523201"/>
    <w:rsid w:val="005260DD"/>
    <w:rsid w:val="00526177"/>
    <w:rsid w:val="00526BFE"/>
    <w:rsid w:val="00530932"/>
    <w:rsid w:val="00530AB4"/>
    <w:rsid w:val="00530F34"/>
    <w:rsid w:val="00531803"/>
    <w:rsid w:val="005325C0"/>
    <w:rsid w:val="00536382"/>
    <w:rsid w:val="00537871"/>
    <w:rsid w:val="00540F01"/>
    <w:rsid w:val="00543099"/>
    <w:rsid w:val="00543A1A"/>
    <w:rsid w:val="00547529"/>
    <w:rsid w:val="005511E7"/>
    <w:rsid w:val="005528C6"/>
    <w:rsid w:val="00553BB9"/>
    <w:rsid w:val="00554BFA"/>
    <w:rsid w:val="005577CC"/>
    <w:rsid w:val="005631CB"/>
    <w:rsid w:val="00564DE1"/>
    <w:rsid w:val="005667B6"/>
    <w:rsid w:val="0057342B"/>
    <w:rsid w:val="00574E1E"/>
    <w:rsid w:val="0057529C"/>
    <w:rsid w:val="005755E2"/>
    <w:rsid w:val="00576029"/>
    <w:rsid w:val="005762C3"/>
    <w:rsid w:val="00587D29"/>
    <w:rsid w:val="00595014"/>
    <w:rsid w:val="005A27F2"/>
    <w:rsid w:val="005A32B5"/>
    <w:rsid w:val="005A361A"/>
    <w:rsid w:val="005A4DC4"/>
    <w:rsid w:val="005A583E"/>
    <w:rsid w:val="005A58AE"/>
    <w:rsid w:val="005B4601"/>
    <w:rsid w:val="005B4EDE"/>
    <w:rsid w:val="005B5ADF"/>
    <w:rsid w:val="005B705E"/>
    <w:rsid w:val="005C1F55"/>
    <w:rsid w:val="005C227A"/>
    <w:rsid w:val="005C31BB"/>
    <w:rsid w:val="005C3E4C"/>
    <w:rsid w:val="005C6348"/>
    <w:rsid w:val="005D0CA7"/>
    <w:rsid w:val="005D5D9D"/>
    <w:rsid w:val="005D70DB"/>
    <w:rsid w:val="005E3039"/>
    <w:rsid w:val="005E5232"/>
    <w:rsid w:val="005E6988"/>
    <w:rsid w:val="005E6A00"/>
    <w:rsid w:val="005F1FAC"/>
    <w:rsid w:val="005F2299"/>
    <w:rsid w:val="005F350D"/>
    <w:rsid w:val="005F71A7"/>
    <w:rsid w:val="005F76C4"/>
    <w:rsid w:val="005F7799"/>
    <w:rsid w:val="00606F5C"/>
    <w:rsid w:val="00617F0E"/>
    <w:rsid w:val="00620449"/>
    <w:rsid w:val="0062466A"/>
    <w:rsid w:val="00626BC6"/>
    <w:rsid w:val="006331D9"/>
    <w:rsid w:val="0065136F"/>
    <w:rsid w:val="00652FBE"/>
    <w:rsid w:val="0065516D"/>
    <w:rsid w:val="00655F31"/>
    <w:rsid w:val="0065736A"/>
    <w:rsid w:val="0066101C"/>
    <w:rsid w:val="00662B3F"/>
    <w:rsid w:val="0066335C"/>
    <w:rsid w:val="00664D68"/>
    <w:rsid w:val="00665B11"/>
    <w:rsid w:val="00667B52"/>
    <w:rsid w:val="0067024E"/>
    <w:rsid w:val="00676E55"/>
    <w:rsid w:val="0067786F"/>
    <w:rsid w:val="00681054"/>
    <w:rsid w:val="00683A02"/>
    <w:rsid w:val="00690F65"/>
    <w:rsid w:val="00695895"/>
    <w:rsid w:val="006A628D"/>
    <w:rsid w:val="006A67E4"/>
    <w:rsid w:val="006A6BE0"/>
    <w:rsid w:val="006C063E"/>
    <w:rsid w:val="006C0FED"/>
    <w:rsid w:val="006C11AD"/>
    <w:rsid w:val="006C1FBD"/>
    <w:rsid w:val="006C2DD1"/>
    <w:rsid w:val="006C3C55"/>
    <w:rsid w:val="006C6D2C"/>
    <w:rsid w:val="006C7DBD"/>
    <w:rsid w:val="006D3795"/>
    <w:rsid w:val="006D66C2"/>
    <w:rsid w:val="006E03C8"/>
    <w:rsid w:val="006E09D7"/>
    <w:rsid w:val="006E0FC7"/>
    <w:rsid w:val="006E2D5C"/>
    <w:rsid w:val="006E3383"/>
    <w:rsid w:val="006E4D9A"/>
    <w:rsid w:val="006E79A1"/>
    <w:rsid w:val="006F0004"/>
    <w:rsid w:val="006F077E"/>
    <w:rsid w:val="006F31E4"/>
    <w:rsid w:val="006F530D"/>
    <w:rsid w:val="006F59C0"/>
    <w:rsid w:val="006F7043"/>
    <w:rsid w:val="0070213C"/>
    <w:rsid w:val="00704341"/>
    <w:rsid w:val="00705713"/>
    <w:rsid w:val="00711DCB"/>
    <w:rsid w:val="00712BC4"/>
    <w:rsid w:val="00712FF2"/>
    <w:rsid w:val="00714A7A"/>
    <w:rsid w:val="007234C4"/>
    <w:rsid w:val="00727478"/>
    <w:rsid w:val="00730749"/>
    <w:rsid w:val="00730A01"/>
    <w:rsid w:val="00730EB3"/>
    <w:rsid w:val="007315AD"/>
    <w:rsid w:val="00734FCF"/>
    <w:rsid w:val="00740687"/>
    <w:rsid w:val="00740FF9"/>
    <w:rsid w:val="007466A7"/>
    <w:rsid w:val="0075469A"/>
    <w:rsid w:val="0076190C"/>
    <w:rsid w:val="0076236B"/>
    <w:rsid w:val="00767E85"/>
    <w:rsid w:val="007707F1"/>
    <w:rsid w:val="00770950"/>
    <w:rsid w:val="00770983"/>
    <w:rsid w:val="00773AB4"/>
    <w:rsid w:val="00775B54"/>
    <w:rsid w:val="00776869"/>
    <w:rsid w:val="00777647"/>
    <w:rsid w:val="007811B8"/>
    <w:rsid w:val="00782B18"/>
    <w:rsid w:val="00783F12"/>
    <w:rsid w:val="00785F95"/>
    <w:rsid w:val="00785FBF"/>
    <w:rsid w:val="00786510"/>
    <w:rsid w:val="00787552"/>
    <w:rsid w:val="00787786"/>
    <w:rsid w:val="0079409E"/>
    <w:rsid w:val="007944FB"/>
    <w:rsid w:val="007A00FC"/>
    <w:rsid w:val="007A18B4"/>
    <w:rsid w:val="007A1CD6"/>
    <w:rsid w:val="007A4476"/>
    <w:rsid w:val="007A5029"/>
    <w:rsid w:val="007B33AC"/>
    <w:rsid w:val="007B390A"/>
    <w:rsid w:val="007B50D5"/>
    <w:rsid w:val="007B7C4E"/>
    <w:rsid w:val="007C6DE5"/>
    <w:rsid w:val="007D2CFA"/>
    <w:rsid w:val="007D6B1C"/>
    <w:rsid w:val="007D6ED6"/>
    <w:rsid w:val="007D7CED"/>
    <w:rsid w:val="007E5F59"/>
    <w:rsid w:val="007E629F"/>
    <w:rsid w:val="007F2C28"/>
    <w:rsid w:val="007F6C33"/>
    <w:rsid w:val="007F77B0"/>
    <w:rsid w:val="00800511"/>
    <w:rsid w:val="00800DC9"/>
    <w:rsid w:val="00804295"/>
    <w:rsid w:val="0080569D"/>
    <w:rsid w:val="0081040D"/>
    <w:rsid w:val="00816C38"/>
    <w:rsid w:val="00822C84"/>
    <w:rsid w:val="00823919"/>
    <w:rsid w:val="0083015B"/>
    <w:rsid w:val="00831625"/>
    <w:rsid w:val="0083237D"/>
    <w:rsid w:val="0083285D"/>
    <w:rsid w:val="00832E55"/>
    <w:rsid w:val="00833DA0"/>
    <w:rsid w:val="00841258"/>
    <w:rsid w:val="00842ADC"/>
    <w:rsid w:val="00847107"/>
    <w:rsid w:val="00851248"/>
    <w:rsid w:val="00852ABC"/>
    <w:rsid w:val="00854337"/>
    <w:rsid w:val="00854757"/>
    <w:rsid w:val="0085669E"/>
    <w:rsid w:val="0085767F"/>
    <w:rsid w:val="008604EF"/>
    <w:rsid w:val="008621B2"/>
    <w:rsid w:val="00862B7C"/>
    <w:rsid w:val="008642E4"/>
    <w:rsid w:val="008646D6"/>
    <w:rsid w:val="00865A14"/>
    <w:rsid w:val="00870044"/>
    <w:rsid w:val="00870D95"/>
    <w:rsid w:val="0087139F"/>
    <w:rsid w:val="0087372F"/>
    <w:rsid w:val="00874353"/>
    <w:rsid w:val="00874502"/>
    <w:rsid w:val="00874F97"/>
    <w:rsid w:val="008757E5"/>
    <w:rsid w:val="00880203"/>
    <w:rsid w:val="00881695"/>
    <w:rsid w:val="00882141"/>
    <w:rsid w:val="008823FC"/>
    <w:rsid w:val="00882FE9"/>
    <w:rsid w:val="00884749"/>
    <w:rsid w:val="00886E4F"/>
    <w:rsid w:val="008902DE"/>
    <w:rsid w:val="00892766"/>
    <w:rsid w:val="00893E27"/>
    <w:rsid w:val="008957EF"/>
    <w:rsid w:val="00897F08"/>
    <w:rsid w:val="008A1552"/>
    <w:rsid w:val="008A1B3C"/>
    <w:rsid w:val="008A3C8E"/>
    <w:rsid w:val="008B18ED"/>
    <w:rsid w:val="008B34C6"/>
    <w:rsid w:val="008B3E53"/>
    <w:rsid w:val="008B41FB"/>
    <w:rsid w:val="008B4352"/>
    <w:rsid w:val="008B6CB9"/>
    <w:rsid w:val="008C034A"/>
    <w:rsid w:val="008C21D2"/>
    <w:rsid w:val="008C2676"/>
    <w:rsid w:val="008C5EAE"/>
    <w:rsid w:val="008C6192"/>
    <w:rsid w:val="008D1783"/>
    <w:rsid w:val="008D2F2C"/>
    <w:rsid w:val="008E0DA5"/>
    <w:rsid w:val="008F0D55"/>
    <w:rsid w:val="009015A3"/>
    <w:rsid w:val="00903001"/>
    <w:rsid w:val="009117C5"/>
    <w:rsid w:val="009140FB"/>
    <w:rsid w:val="00917B8A"/>
    <w:rsid w:val="009230B4"/>
    <w:rsid w:val="00923323"/>
    <w:rsid w:val="00925CD2"/>
    <w:rsid w:val="009328F8"/>
    <w:rsid w:val="009369F5"/>
    <w:rsid w:val="009417D6"/>
    <w:rsid w:val="00942621"/>
    <w:rsid w:val="00942E78"/>
    <w:rsid w:val="0094472D"/>
    <w:rsid w:val="00947235"/>
    <w:rsid w:val="009477B9"/>
    <w:rsid w:val="00952368"/>
    <w:rsid w:val="009525CD"/>
    <w:rsid w:val="00952F94"/>
    <w:rsid w:val="009562A8"/>
    <w:rsid w:val="009565BD"/>
    <w:rsid w:val="009600C8"/>
    <w:rsid w:val="0096186E"/>
    <w:rsid w:val="009619ED"/>
    <w:rsid w:val="00966604"/>
    <w:rsid w:val="00967679"/>
    <w:rsid w:val="00967D22"/>
    <w:rsid w:val="00974B21"/>
    <w:rsid w:val="009830A1"/>
    <w:rsid w:val="0098458D"/>
    <w:rsid w:val="009869A9"/>
    <w:rsid w:val="0098730D"/>
    <w:rsid w:val="00992181"/>
    <w:rsid w:val="00992699"/>
    <w:rsid w:val="0099315B"/>
    <w:rsid w:val="009932B2"/>
    <w:rsid w:val="009943AB"/>
    <w:rsid w:val="00994B63"/>
    <w:rsid w:val="009A585E"/>
    <w:rsid w:val="009A61C3"/>
    <w:rsid w:val="009A715F"/>
    <w:rsid w:val="009A7233"/>
    <w:rsid w:val="009B100C"/>
    <w:rsid w:val="009B3099"/>
    <w:rsid w:val="009B4ABC"/>
    <w:rsid w:val="009B4C20"/>
    <w:rsid w:val="009C2009"/>
    <w:rsid w:val="009C26AA"/>
    <w:rsid w:val="009C394A"/>
    <w:rsid w:val="009C6836"/>
    <w:rsid w:val="009D0B20"/>
    <w:rsid w:val="009D3FE2"/>
    <w:rsid w:val="009D428D"/>
    <w:rsid w:val="009D4EF3"/>
    <w:rsid w:val="009D5867"/>
    <w:rsid w:val="009D5AE2"/>
    <w:rsid w:val="009E0076"/>
    <w:rsid w:val="009E0337"/>
    <w:rsid w:val="009E17AD"/>
    <w:rsid w:val="009E18CE"/>
    <w:rsid w:val="009E1D97"/>
    <w:rsid w:val="009E2E22"/>
    <w:rsid w:val="009E3831"/>
    <w:rsid w:val="009E63E8"/>
    <w:rsid w:val="009E7E7D"/>
    <w:rsid w:val="009F26A6"/>
    <w:rsid w:val="009F281A"/>
    <w:rsid w:val="009F362D"/>
    <w:rsid w:val="009F5BA5"/>
    <w:rsid w:val="009F7EE0"/>
    <w:rsid w:val="00A024AA"/>
    <w:rsid w:val="00A02F44"/>
    <w:rsid w:val="00A0486A"/>
    <w:rsid w:val="00A04D47"/>
    <w:rsid w:val="00A06A55"/>
    <w:rsid w:val="00A06CB7"/>
    <w:rsid w:val="00A10C9A"/>
    <w:rsid w:val="00A14E19"/>
    <w:rsid w:val="00A2226F"/>
    <w:rsid w:val="00A2434A"/>
    <w:rsid w:val="00A270E7"/>
    <w:rsid w:val="00A34241"/>
    <w:rsid w:val="00A40073"/>
    <w:rsid w:val="00A441F3"/>
    <w:rsid w:val="00A44519"/>
    <w:rsid w:val="00A44B6B"/>
    <w:rsid w:val="00A4500A"/>
    <w:rsid w:val="00A50DC1"/>
    <w:rsid w:val="00A54E84"/>
    <w:rsid w:val="00A61837"/>
    <w:rsid w:val="00A65F24"/>
    <w:rsid w:val="00A6708D"/>
    <w:rsid w:val="00A709F8"/>
    <w:rsid w:val="00A72E21"/>
    <w:rsid w:val="00A77316"/>
    <w:rsid w:val="00A80E75"/>
    <w:rsid w:val="00A82266"/>
    <w:rsid w:val="00A85A53"/>
    <w:rsid w:val="00A9402A"/>
    <w:rsid w:val="00A95B96"/>
    <w:rsid w:val="00A96F5D"/>
    <w:rsid w:val="00AA1F46"/>
    <w:rsid w:val="00AB017A"/>
    <w:rsid w:val="00AB41E9"/>
    <w:rsid w:val="00AB533F"/>
    <w:rsid w:val="00AC164D"/>
    <w:rsid w:val="00AC3994"/>
    <w:rsid w:val="00AC3D83"/>
    <w:rsid w:val="00AC5E8C"/>
    <w:rsid w:val="00AD14B5"/>
    <w:rsid w:val="00AD51CA"/>
    <w:rsid w:val="00AD59B0"/>
    <w:rsid w:val="00AE40EE"/>
    <w:rsid w:val="00AE6A3E"/>
    <w:rsid w:val="00AF0F7E"/>
    <w:rsid w:val="00AF17E4"/>
    <w:rsid w:val="00AF1E33"/>
    <w:rsid w:val="00AF304C"/>
    <w:rsid w:val="00AF35F0"/>
    <w:rsid w:val="00AF479D"/>
    <w:rsid w:val="00B0325D"/>
    <w:rsid w:val="00B045BE"/>
    <w:rsid w:val="00B0679F"/>
    <w:rsid w:val="00B0686C"/>
    <w:rsid w:val="00B1009A"/>
    <w:rsid w:val="00B1144A"/>
    <w:rsid w:val="00B1213D"/>
    <w:rsid w:val="00B121DC"/>
    <w:rsid w:val="00B1365E"/>
    <w:rsid w:val="00B15538"/>
    <w:rsid w:val="00B17FC3"/>
    <w:rsid w:val="00B20749"/>
    <w:rsid w:val="00B300FC"/>
    <w:rsid w:val="00B3026F"/>
    <w:rsid w:val="00B30917"/>
    <w:rsid w:val="00B311C7"/>
    <w:rsid w:val="00B313B9"/>
    <w:rsid w:val="00B31A26"/>
    <w:rsid w:val="00B35F3C"/>
    <w:rsid w:val="00B37DAC"/>
    <w:rsid w:val="00B428B0"/>
    <w:rsid w:val="00B43DDE"/>
    <w:rsid w:val="00B44269"/>
    <w:rsid w:val="00B470AF"/>
    <w:rsid w:val="00B54124"/>
    <w:rsid w:val="00B57BEC"/>
    <w:rsid w:val="00B602E8"/>
    <w:rsid w:val="00B61D56"/>
    <w:rsid w:val="00B6598E"/>
    <w:rsid w:val="00B726BA"/>
    <w:rsid w:val="00B778C8"/>
    <w:rsid w:val="00B82834"/>
    <w:rsid w:val="00B8606C"/>
    <w:rsid w:val="00B86768"/>
    <w:rsid w:val="00B877E3"/>
    <w:rsid w:val="00B87E04"/>
    <w:rsid w:val="00B91733"/>
    <w:rsid w:val="00B923EF"/>
    <w:rsid w:val="00B932ED"/>
    <w:rsid w:val="00B954F9"/>
    <w:rsid w:val="00BA2032"/>
    <w:rsid w:val="00BA5C07"/>
    <w:rsid w:val="00BA68DB"/>
    <w:rsid w:val="00BA6E57"/>
    <w:rsid w:val="00BB5AB0"/>
    <w:rsid w:val="00BB5EAC"/>
    <w:rsid w:val="00BB7B36"/>
    <w:rsid w:val="00BB7ED1"/>
    <w:rsid w:val="00BC1EBE"/>
    <w:rsid w:val="00BC2084"/>
    <w:rsid w:val="00BC2D5E"/>
    <w:rsid w:val="00BC6CD6"/>
    <w:rsid w:val="00BD13A2"/>
    <w:rsid w:val="00BD3E34"/>
    <w:rsid w:val="00BE0B79"/>
    <w:rsid w:val="00BE4750"/>
    <w:rsid w:val="00BE4A3C"/>
    <w:rsid w:val="00BE66B4"/>
    <w:rsid w:val="00BE6936"/>
    <w:rsid w:val="00BF16F2"/>
    <w:rsid w:val="00BF194D"/>
    <w:rsid w:val="00BF4726"/>
    <w:rsid w:val="00C03C21"/>
    <w:rsid w:val="00C117F5"/>
    <w:rsid w:val="00C13508"/>
    <w:rsid w:val="00C14B8C"/>
    <w:rsid w:val="00C165F2"/>
    <w:rsid w:val="00C167CD"/>
    <w:rsid w:val="00C16A9E"/>
    <w:rsid w:val="00C21B58"/>
    <w:rsid w:val="00C25F88"/>
    <w:rsid w:val="00C26BF9"/>
    <w:rsid w:val="00C32139"/>
    <w:rsid w:val="00C37AFD"/>
    <w:rsid w:val="00C40682"/>
    <w:rsid w:val="00C461CE"/>
    <w:rsid w:val="00C50064"/>
    <w:rsid w:val="00C5322E"/>
    <w:rsid w:val="00C61416"/>
    <w:rsid w:val="00C6221C"/>
    <w:rsid w:val="00C63557"/>
    <w:rsid w:val="00C637CE"/>
    <w:rsid w:val="00C665D4"/>
    <w:rsid w:val="00C66666"/>
    <w:rsid w:val="00C7029E"/>
    <w:rsid w:val="00C70F98"/>
    <w:rsid w:val="00C72855"/>
    <w:rsid w:val="00C73B16"/>
    <w:rsid w:val="00C8005D"/>
    <w:rsid w:val="00C803C4"/>
    <w:rsid w:val="00C815F1"/>
    <w:rsid w:val="00C82B25"/>
    <w:rsid w:val="00C84EA4"/>
    <w:rsid w:val="00C87777"/>
    <w:rsid w:val="00C91BB0"/>
    <w:rsid w:val="00C921C4"/>
    <w:rsid w:val="00C92B29"/>
    <w:rsid w:val="00C965DF"/>
    <w:rsid w:val="00C96CF2"/>
    <w:rsid w:val="00CA03C5"/>
    <w:rsid w:val="00CA05EA"/>
    <w:rsid w:val="00CA4852"/>
    <w:rsid w:val="00CB20AC"/>
    <w:rsid w:val="00CB2A01"/>
    <w:rsid w:val="00CB487D"/>
    <w:rsid w:val="00CB496B"/>
    <w:rsid w:val="00CB6437"/>
    <w:rsid w:val="00CB7268"/>
    <w:rsid w:val="00CB793B"/>
    <w:rsid w:val="00CB7987"/>
    <w:rsid w:val="00CC163C"/>
    <w:rsid w:val="00CC239C"/>
    <w:rsid w:val="00CC41D8"/>
    <w:rsid w:val="00CC43BA"/>
    <w:rsid w:val="00CC65A8"/>
    <w:rsid w:val="00CC6EFC"/>
    <w:rsid w:val="00CC7536"/>
    <w:rsid w:val="00CD06AE"/>
    <w:rsid w:val="00CD0BE3"/>
    <w:rsid w:val="00CD2564"/>
    <w:rsid w:val="00CD294F"/>
    <w:rsid w:val="00CD7B7A"/>
    <w:rsid w:val="00CE0683"/>
    <w:rsid w:val="00CF030C"/>
    <w:rsid w:val="00CF0368"/>
    <w:rsid w:val="00CF6F6D"/>
    <w:rsid w:val="00D004B8"/>
    <w:rsid w:val="00D03270"/>
    <w:rsid w:val="00D044EC"/>
    <w:rsid w:val="00D062DD"/>
    <w:rsid w:val="00D128FF"/>
    <w:rsid w:val="00D13027"/>
    <w:rsid w:val="00D130AC"/>
    <w:rsid w:val="00D23FE5"/>
    <w:rsid w:val="00D24249"/>
    <w:rsid w:val="00D24649"/>
    <w:rsid w:val="00D25BE1"/>
    <w:rsid w:val="00D31CC0"/>
    <w:rsid w:val="00D358C7"/>
    <w:rsid w:val="00D40FB6"/>
    <w:rsid w:val="00D41B6A"/>
    <w:rsid w:val="00D41BAC"/>
    <w:rsid w:val="00D46119"/>
    <w:rsid w:val="00D46860"/>
    <w:rsid w:val="00D46A2B"/>
    <w:rsid w:val="00D47C94"/>
    <w:rsid w:val="00D507B4"/>
    <w:rsid w:val="00D532B3"/>
    <w:rsid w:val="00D576CA"/>
    <w:rsid w:val="00D57900"/>
    <w:rsid w:val="00D57977"/>
    <w:rsid w:val="00D61370"/>
    <w:rsid w:val="00D65D04"/>
    <w:rsid w:val="00D700F7"/>
    <w:rsid w:val="00D706E1"/>
    <w:rsid w:val="00D70885"/>
    <w:rsid w:val="00D711A1"/>
    <w:rsid w:val="00D76CE3"/>
    <w:rsid w:val="00D804E4"/>
    <w:rsid w:val="00D80562"/>
    <w:rsid w:val="00D80D7C"/>
    <w:rsid w:val="00D80EC9"/>
    <w:rsid w:val="00D85A36"/>
    <w:rsid w:val="00D85CD6"/>
    <w:rsid w:val="00D97060"/>
    <w:rsid w:val="00D9728E"/>
    <w:rsid w:val="00DA18D5"/>
    <w:rsid w:val="00DA1C0E"/>
    <w:rsid w:val="00DA3E3F"/>
    <w:rsid w:val="00DA4BFE"/>
    <w:rsid w:val="00DA61FD"/>
    <w:rsid w:val="00DB1363"/>
    <w:rsid w:val="00DB33E7"/>
    <w:rsid w:val="00DB353F"/>
    <w:rsid w:val="00DB4117"/>
    <w:rsid w:val="00DB5175"/>
    <w:rsid w:val="00DB5401"/>
    <w:rsid w:val="00DB5F53"/>
    <w:rsid w:val="00DC16FF"/>
    <w:rsid w:val="00DC36AC"/>
    <w:rsid w:val="00DC76DF"/>
    <w:rsid w:val="00DD046C"/>
    <w:rsid w:val="00DD09A7"/>
    <w:rsid w:val="00DD1A7B"/>
    <w:rsid w:val="00DD25ED"/>
    <w:rsid w:val="00DD40FE"/>
    <w:rsid w:val="00DD6B31"/>
    <w:rsid w:val="00DE0480"/>
    <w:rsid w:val="00DE1541"/>
    <w:rsid w:val="00DE22A6"/>
    <w:rsid w:val="00DE2C00"/>
    <w:rsid w:val="00DF0FFD"/>
    <w:rsid w:val="00DF14D9"/>
    <w:rsid w:val="00DF22AD"/>
    <w:rsid w:val="00DF2C03"/>
    <w:rsid w:val="00DF63A9"/>
    <w:rsid w:val="00DF7288"/>
    <w:rsid w:val="00E00B97"/>
    <w:rsid w:val="00E01F29"/>
    <w:rsid w:val="00E02813"/>
    <w:rsid w:val="00E045EC"/>
    <w:rsid w:val="00E079F1"/>
    <w:rsid w:val="00E1190C"/>
    <w:rsid w:val="00E11AB4"/>
    <w:rsid w:val="00E12353"/>
    <w:rsid w:val="00E13AFE"/>
    <w:rsid w:val="00E16889"/>
    <w:rsid w:val="00E20191"/>
    <w:rsid w:val="00E202A4"/>
    <w:rsid w:val="00E218CA"/>
    <w:rsid w:val="00E21B0B"/>
    <w:rsid w:val="00E22C91"/>
    <w:rsid w:val="00E256C0"/>
    <w:rsid w:val="00E268C4"/>
    <w:rsid w:val="00E301BF"/>
    <w:rsid w:val="00E3385C"/>
    <w:rsid w:val="00E34C8A"/>
    <w:rsid w:val="00E42CAB"/>
    <w:rsid w:val="00E456DE"/>
    <w:rsid w:val="00E5067C"/>
    <w:rsid w:val="00E51AB3"/>
    <w:rsid w:val="00E52B76"/>
    <w:rsid w:val="00E56D17"/>
    <w:rsid w:val="00E75044"/>
    <w:rsid w:val="00E77168"/>
    <w:rsid w:val="00E77FBE"/>
    <w:rsid w:val="00E843C0"/>
    <w:rsid w:val="00E93B37"/>
    <w:rsid w:val="00E96C9B"/>
    <w:rsid w:val="00EA195A"/>
    <w:rsid w:val="00EA6321"/>
    <w:rsid w:val="00EA6D79"/>
    <w:rsid w:val="00EB0878"/>
    <w:rsid w:val="00EB08F4"/>
    <w:rsid w:val="00EB0EEF"/>
    <w:rsid w:val="00EB1037"/>
    <w:rsid w:val="00EB6D2C"/>
    <w:rsid w:val="00EB7AC9"/>
    <w:rsid w:val="00EC1D3F"/>
    <w:rsid w:val="00EC5630"/>
    <w:rsid w:val="00EC5A89"/>
    <w:rsid w:val="00EC6A56"/>
    <w:rsid w:val="00ED4412"/>
    <w:rsid w:val="00EE0A93"/>
    <w:rsid w:val="00EE1AF6"/>
    <w:rsid w:val="00EE317C"/>
    <w:rsid w:val="00EE5E05"/>
    <w:rsid w:val="00EF22BB"/>
    <w:rsid w:val="00EF2629"/>
    <w:rsid w:val="00EF39EB"/>
    <w:rsid w:val="00EF5604"/>
    <w:rsid w:val="00F00B1A"/>
    <w:rsid w:val="00F01E51"/>
    <w:rsid w:val="00F02D71"/>
    <w:rsid w:val="00F02D8A"/>
    <w:rsid w:val="00F030E0"/>
    <w:rsid w:val="00F03A3A"/>
    <w:rsid w:val="00F05886"/>
    <w:rsid w:val="00F0638E"/>
    <w:rsid w:val="00F07968"/>
    <w:rsid w:val="00F10B2E"/>
    <w:rsid w:val="00F10BCF"/>
    <w:rsid w:val="00F136E0"/>
    <w:rsid w:val="00F201F8"/>
    <w:rsid w:val="00F24035"/>
    <w:rsid w:val="00F309BB"/>
    <w:rsid w:val="00F30E21"/>
    <w:rsid w:val="00F364A2"/>
    <w:rsid w:val="00F375CC"/>
    <w:rsid w:val="00F401D0"/>
    <w:rsid w:val="00F43124"/>
    <w:rsid w:val="00F45CAE"/>
    <w:rsid w:val="00F46E86"/>
    <w:rsid w:val="00F50713"/>
    <w:rsid w:val="00F5211B"/>
    <w:rsid w:val="00F528C2"/>
    <w:rsid w:val="00F52CBC"/>
    <w:rsid w:val="00F5336B"/>
    <w:rsid w:val="00F53C4C"/>
    <w:rsid w:val="00F60BEE"/>
    <w:rsid w:val="00F61ABF"/>
    <w:rsid w:val="00F63080"/>
    <w:rsid w:val="00F63370"/>
    <w:rsid w:val="00F64C46"/>
    <w:rsid w:val="00F67033"/>
    <w:rsid w:val="00F733CE"/>
    <w:rsid w:val="00F7613E"/>
    <w:rsid w:val="00F76244"/>
    <w:rsid w:val="00F768BE"/>
    <w:rsid w:val="00F80E97"/>
    <w:rsid w:val="00F81D02"/>
    <w:rsid w:val="00F81D86"/>
    <w:rsid w:val="00F831EE"/>
    <w:rsid w:val="00F8359A"/>
    <w:rsid w:val="00F86F0A"/>
    <w:rsid w:val="00F86F2F"/>
    <w:rsid w:val="00F87A28"/>
    <w:rsid w:val="00F90321"/>
    <w:rsid w:val="00F921A2"/>
    <w:rsid w:val="00F92EA3"/>
    <w:rsid w:val="00F94C3B"/>
    <w:rsid w:val="00F9621F"/>
    <w:rsid w:val="00F9688A"/>
    <w:rsid w:val="00F97C3F"/>
    <w:rsid w:val="00FA1FA2"/>
    <w:rsid w:val="00FA2C2E"/>
    <w:rsid w:val="00FB06E5"/>
    <w:rsid w:val="00FB0C47"/>
    <w:rsid w:val="00FB4342"/>
    <w:rsid w:val="00FB5002"/>
    <w:rsid w:val="00FB5834"/>
    <w:rsid w:val="00FB6514"/>
    <w:rsid w:val="00FC31D5"/>
    <w:rsid w:val="00FC5ADD"/>
    <w:rsid w:val="00FC6206"/>
    <w:rsid w:val="00FC7E37"/>
    <w:rsid w:val="00FD317A"/>
    <w:rsid w:val="00FD4AAE"/>
    <w:rsid w:val="00FD55C1"/>
    <w:rsid w:val="00FD7D90"/>
    <w:rsid w:val="00FE0889"/>
    <w:rsid w:val="00FE0FA3"/>
    <w:rsid w:val="00FE3DEB"/>
    <w:rsid w:val="00FE5112"/>
    <w:rsid w:val="00FE7396"/>
    <w:rsid w:val="00FE7C8A"/>
    <w:rsid w:val="00FF0776"/>
    <w:rsid w:val="00FF2BCC"/>
    <w:rsid w:val="00FF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CF6E2"/>
  <w15:docId w15:val="{4C00FB8F-5854-40CD-9129-E1F49F69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ADF"/>
    <w:rPr>
      <w:rFonts w:ascii="Segoe UI" w:hAnsi="Segoe UI" w:cs="Segoe UI"/>
      <w:sz w:val="18"/>
      <w:szCs w:val="18"/>
    </w:rPr>
  </w:style>
  <w:style w:type="paragraph" w:styleId="Header">
    <w:name w:val="header"/>
    <w:basedOn w:val="Normal"/>
    <w:link w:val="HeaderChar"/>
    <w:uiPriority w:val="99"/>
    <w:unhideWhenUsed/>
    <w:rsid w:val="001A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5DD"/>
  </w:style>
  <w:style w:type="paragraph" w:styleId="Footer">
    <w:name w:val="footer"/>
    <w:basedOn w:val="Normal"/>
    <w:link w:val="FooterChar"/>
    <w:uiPriority w:val="99"/>
    <w:unhideWhenUsed/>
    <w:rsid w:val="001A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5DD"/>
  </w:style>
  <w:style w:type="paragraph" w:styleId="ListParagraph">
    <w:name w:val="List Paragraph"/>
    <w:basedOn w:val="Normal"/>
    <w:uiPriority w:val="34"/>
    <w:qFormat/>
    <w:rsid w:val="00FE7C8A"/>
    <w:pPr>
      <w:ind w:left="720"/>
      <w:contextualSpacing/>
    </w:pPr>
  </w:style>
  <w:style w:type="paragraph" w:styleId="NoSpacing">
    <w:name w:val="No Spacing"/>
    <w:link w:val="NoSpacingChar"/>
    <w:uiPriority w:val="1"/>
    <w:qFormat/>
    <w:rsid w:val="000D3F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3FE7"/>
    <w:rPr>
      <w:rFonts w:eastAsiaTheme="minorEastAsia"/>
      <w:lang w:val="en-US"/>
    </w:rPr>
  </w:style>
  <w:style w:type="paragraph" w:customStyle="1" w:styleId="Default">
    <w:name w:val="Default"/>
    <w:rsid w:val="005B4EDE"/>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3C"/>
    <w:pPr>
      <w:spacing w:after="0" w:line="240" w:lineRule="auto"/>
    </w:pPr>
    <w:rPr>
      <w:rFonts w:eastAsia="Times New Roman"/>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87E04"/>
    <w:rPr>
      <w:sz w:val="16"/>
      <w:szCs w:val="16"/>
    </w:rPr>
  </w:style>
  <w:style w:type="paragraph" w:styleId="CommentText">
    <w:name w:val="annotation text"/>
    <w:basedOn w:val="Normal"/>
    <w:link w:val="CommentTextChar"/>
    <w:uiPriority w:val="99"/>
    <w:semiHidden/>
    <w:unhideWhenUsed/>
    <w:rsid w:val="00B87E04"/>
    <w:pPr>
      <w:spacing w:line="240" w:lineRule="auto"/>
    </w:pPr>
    <w:rPr>
      <w:sz w:val="20"/>
      <w:szCs w:val="20"/>
    </w:rPr>
  </w:style>
  <w:style w:type="character" w:customStyle="1" w:styleId="CommentTextChar">
    <w:name w:val="Comment Text Char"/>
    <w:basedOn w:val="DefaultParagraphFont"/>
    <w:link w:val="CommentText"/>
    <w:uiPriority w:val="99"/>
    <w:semiHidden/>
    <w:rsid w:val="00B87E04"/>
    <w:rPr>
      <w:sz w:val="20"/>
      <w:szCs w:val="20"/>
    </w:rPr>
  </w:style>
  <w:style w:type="paragraph" w:styleId="CommentSubject">
    <w:name w:val="annotation subject"/>
    <w:basedOn w:val="CommentText"/>
    <w:next w:val="CommentText"/>
    <w:link w:val="CommentSubjectChar"/>
    <w:uiPriority w:val="99"/>
    <w:semiHidden/>
    <w:unhideWhenUsed/>
    <w:rsid w:val="00B87E04"/>
    <w:rPr>
      <w:b/>
      <w:bCs/>
    </w:rPr>
  </w:style>
  <w:style w:type="character" w:customStyle="1" w:styleId="CommentSubjectChar">
    <w:name w:val="Comment Subject Char"/>
    <w:basedOn w:val="CommentTextChar"/>
    <w:link w:val="CommentSubject"/>
    <w:uiPriority w:val="99"/>
    <w:semiHidden/>
    <w:rsid w:val="00B87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3014">
      <w:bodyDiv w:val="1"/>
      <w:marLeft w:val="0"/>
      <w:marRight w:val="0"/>
      <w:marTop w:val="0"/>
      <w:marBottom w:val="0"/>
      <w:divBdr>
        <w:top w:val="none" w:sz="0" w:space="0" w:color="auto"/>
        <w:left w:val="none" w:sz="0" w:space="0" w:color="auto"/>
        <w:bottom w:val="none" w:sz="0" w:space="0" w:color="auto"/>
        <w:right w:val="none" w:sz="0" w:space="0" w:color="auto"/>
      </w:divBdr>
    </w:div>
    <w:div w:id="333075810">
      <w:bodyDiv w:val="1"/>
      <w:marLeft w:val="0"/>
      <w:marRight w:val="0"/>
      <w:marTop w:val="0"/>
      <w:marBottom w:val="0"/>
      <w:divBdr>
        <w:top w:val="none" w:sz="0" w:space="0" w:color="auto"/>
        <w:left w:val="none" w:sz="0" w:space="0" w:color="auto"/>
        <w:bottom w:val="none" w:sz="0" w:space="0" w:color="auto"/>
        <w:right w:val="none" w:sz="0" w:space="0" w:color="auto"/>
      </w:divBdr>
    </w:div>
    <w:div w:id="495803345">
      <w:bodyDiv w:val="1"/>
      <w:marLeft w:val="0"/>
      <w:marRight w:val="0"/>
      <w:marTop w:val="0"/>
      <w:marBottom w:val="0"/>
      <w:divBdr>
        <w:top w:val="none" w:sz="0" w:space="0" w:color="auto"/>
        <w:left w:val="none" w:sz="0" w:space="0" w:color="auto"/>
        <w:bottom w:val="none" w:sz="0" w:space="0" w:color="auto"/>
        <w:right w:val="none" w:sz="0" w:space="0" w:color="auto"/>
      </w:divBdr>
    </w:div>
    <w:div w:id="594559198">
      <w:bodyDiv w:val="1"/>
      <w:marLeft w:val="0"/>
      <w:marRight w:val="0"/>
      <w:marTop w:val="0"/>
      <w:marBottom w:val="0"/>
      <w:divBdr>
        <w:top w:val="none" w:sz="0" w:space="0" w:color="auto"/>
        <w:left w:val="none" w:sz="0" w:space="0" w:color="auto"/>
        <w:bottom w:val="none" w:sz="0" w:space="0" w:color="auto"/>
        <w:right w:val="none" w:sz="0" w:space="0" w:color="auto"/>
      </w:divBdr>
    </w:div>
    <w:div w:id="628559157">
      <w:bodyDiv w:val="1"/>
      <w:marLeft w:val="0"/>
      <w:marRight w:val="0"/>
      <w:marTop w:val="0"/>
      <w:marBottom w:val="0"/>
      <w:divBdr>
        <w:top w:val="none" w:sz="0" w:space="0" w:color="auto"/>
        <w:left w:val="none" w:sz="0" w:space="0" w:color="auto"/>
        <w:bottom w:val="none" w:sz="0" w:space="0" w:color="auto"/>
        <w:right w:val="none" w:sz="0" w:space="0" w:color="auto"/>
      </w:divBdr>
    </w:div>
    <w:div w:id="688022619">
      <w:bodyDiv w:val="1"/>
      <w:marLeft w:val="0"/>
      <w:marRight w:val="0"/>
      <w:marTop w:val="0"/>
      <w:marBottom w:val="0"/>
      <w:divBdr>
        <w:top w:val="none" w:sz="0" w:space="0" w:color="auto"/>
        <w:left w:val="none" w:sz="0" w:space="0" w:color="auto"/>
        <w:bottom w:val="none" w:sz="0" w:space="0" w:color="auto"/>
        <w:right w:val="none" w:sz="0" w:space="0" w:color="auto"/>
      </w:divBdr>
    </w:div>
    <w:div w:id="695737602">
      <w:bodyDiv w:val="1"/>
      <w:marLeft w:val="0"/>
      <w:marRight w:val="0"/>
      <w:marTop w:val="0"/>
      <w:marBottom w:val="0"/>
      <w:divBdr>
        <w:top w:val="none" w:sz="0" w:space="0" w:color="auto"/>
        <w:left w:val="none" w:sz="0" w:space="0" w:color="auto"/>
        <w:bottom w:val="none" w:sz="0" w:space="0" w:color="auto"/>
        <w:right w:val="none" w:sz="0" w:space="0" w:color="auto"/>
      </w:divBdr>
    </w:div>
    <w:div w:id="903301660">
      <w:bodyDiv w:val="1"/>
      <w:marLeft w:val="0"/>
      <w:marRight w:val="0"/>
      <w:marTop w:val="0"/>
      <w:marBottom w:val="0"/>
      <w:divBdr>
        <w:top w:val="none" w:sz="0" w:space="0" w:color="auto"/>
        <w:left w:val="none" w:sz="0" w:space="0" w:color="auto"/>
        <w:bottom w:val="none" w:sz="0" w:space="0" w:color="auto"/>
        <w:right w:val="none" w:sz="0" w:space="0" w:color="auto"/>
      </w:divBdr>
    </w:div>
    <w:div w:id="907111967">
      <w:bodyDiv w:val="1"/>
      <w:marLeft w:val="0"/>
      <w:marRight w:val="0"/>
      <w:marTop w:val="0"/>
      <w:marBottom w:val="0"/>
      <w:divBdr>
        <w:top w:val="none" w:sz="0" w:space="0" w:color="auto"/>
        <w:left w:val="none" w:sz="0" w:space="0" w:color="auto"/>
        <w:bottom w:val="none" w:sz="0" w:space="0" w:color="auto"/>
        <w:right w:val="none" w:sz="0" w:space="0" w:color="auto"/>
      </w:divBdr>
    </w:div>
    <w:div w:id="1974558186">
      <w:bodyDiv w:val="1"/>
      <w:marLeft w:val="0"/>
      <w:marRight w:val="0"/>
      <w:marTop w:val="0"/>
      <w:marBottom w:val="0"/>
      <w:divBdr>
        <w:top w:val="none" w:sz="0" w:space="0" w:color="auto"/>
        <w:left w:val="none" w:sz="0" w:space="0" w:color="auto"/>
        <w:bottom w:val="none" w:sz="0" w:space="0" w:color="auto"/>
        <w:right w:val="none" w:sz="0" w:space="0" w:color="auto"/>
      </w:divBdr>
    </w:div>
    <w:div w:id="20064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FE79D036854995ADB2AF26C3FCABB3"/>
        <w:category>
          <w:name w:val="General"/>
          <w:gallery w:val="placeholder"/>
        </w:category>
        <w:types>
          <w:type w:val="bbPlcHdr"/>
        </w:types>
        <w:behaviors>
          <w:behavior w:val="content"/>
        </w:behaviors>
        <w:guid w:val="{5DEBC428-44FF-4561-8E00-4574FED101FF}"/>
      </w:docPartPr>
      <w:docPartBody>
        <w:p w:rsidR="00FB78F6" w:rsidRDefault="007175CA" w:rsidP="007175CA">
          <w:pPr>
            <w:pStyle w:val="6EFE79D036854995ADB2AF26C3FCABB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CA"/>
    <w:rsid w:val="00003450"/>
    <w:rsid w:val="00084BCD"/>
    <w:rsid w:val="000D285B"/>
    <w:rsid w:val="000F3AA4"/>
    <w:rsid w:val="0015774B"/>
    <w:rsid w:val="001633AF"/>
    <w:rsid w:val="001F348F"/>
    <w:rsid w:val="0023698F"/>
    <w:rsid w:val="00237465"/>
    <w:rsid w:val="00415F22"/>
    <w:rsid w:val="004537DB"/>
    <w:rsid w:val="0049033F"/>
    <w:rsid w:val="00647FA1"/>
    <w:rsid w:val="00706770"/>
    <w:rsid w:val="007175CA"/>
    <w:rsid w:val="0072680F"/>
    <w:rsid w:val="008717AA"/>
    <w:rsid w:val="008A1502"/>
    <w:rsid w:val="008A558E"/>
    <w:rsid w:val="008E613E"/>
    <w:rsid w:val="009A500D"/>
    <w:rsid w:val="009B5E41"/>
    <w:rsid w:val="00B2509E"/>
    <w:rsid w:val="00BB1FB1"/>
    <w:rsid w:val="00BD274F"/>
    <w:rsid w:val="00C70300"/>
    <w:rsid w:val="00D2592D"/>
    <w:rsid w:val="00D93056"/>
    <w:rsid w:val="00DF4E30"/>
    <w:rsid w:val="00E72923"/>
    <w:rsid w:val="00EA2DAE"/>
    <w:rsid w:val="00EB4C36"/>
    <w:rsid w:val="00FB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FA7DCAABD49FD9032F4728374AC48">
    <w:name w:val="4FEFA7DCAABD49FD9032F4728374AC48"/>
    <w:rsid w:val="007175CA"/>
  </w:style>
  <w:style w:type="paragraph" w:customStyle="1" w:styleId="D874278E535947D4A8F6FC6B49546991">
    <w:name w:val="D874278E535947D4A8F6FC6B49546991"/>
    <w:rsid w:val="007175CA"/>
  </w:style>
  <w:style w:type="paragraph" w:customStyle="1" w:styleId="6EFE79D036854995ADB2AF26C3FCABB3">
    <w:name w:val="6EFE79D036854995ADB2AF26C3FCABB3"/>
    <w:rsid w:val="00717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42A5-6967-405C-9457-0A113D65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4995</Words>
  <Characters>28473</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The Bolsover School                                                  Pupil Premium strategy</vt:lpstr>
    </vt:vector>
  </TitlesOfParts>
  <Company>Hewlett-Packard</Company>
  <LinksUpToDate>false</LinksUpToDate>
  <CharactersWithSpaces>33402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Bolsover School                                                  Pupil Premium strategy</dc:title>
  <dc:creator>Sarah Byrne</dc:creator>
  <cp:lastModifiedBy>Mitchell, A Mrs</cp:lastModifiedBy>
  <cp:revision>2</cp:revision>
  <cp:lastPrinted>2019-09-16T16:24:00Z</cp:lastPrinted>
  <dcterms:created xsi:type="dcterms:W3CDTF">2019-10-25T08:31:00Z</dcterms:created>
  <dcterms:modified xsi:type="dcterms:W3CDTF">2019-10-25T08:31:00Z</dcterms:modified>
</cp:coreProperties>
</file>